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eu_funds_tfp_spatial_iv</w:t>
      </w:r>
    </w:p>
    <w:p>
      <w:r>
        <w:t xml:space="preserve"> </w:t>
      </w:r>
    </w:p>
    <w:p>
      <w:pPr>
        <w:pStyle w:val="Heading2"/>
      </w:pPr>
      <w:r>
        <w:t>Title</w:t>
      </w:r>
    </w:p>
    <w:p>
      <w:r>
        <w:t>Dynamic spatial panel and shift-share instrumental-variable analysis of EU structural funds effects on regional total factor productivity growth</w:t>
      </w:r>
    </w:p>
    <w:p>
      <w:r>
        <w:t xml:space="preserve"> </w:t>
      </w:r>
    </w:p>
    <w:p>
      <w:pPr>
        <w:pStyle w:val="Heading2"/>
      </w:pPr>
      <w:r>
        <w:t>Short Hypothesis</w:t>
      </w:r>
    </w:p>
    <w:p>
      <w:r>
        <w:t>Higher per-capita EU structural fund disbursements causally increase regional total factor productivity (TFP) growth within five years.</w:t>
      </w:r>
    </w:p>
    <w:p>
      <w:r>
        <w:t xml:space="preserve"> </w:t>
      </w:r>
    </w:p>
    <w:p>
      <w:pPr>
        <w:pStyle w:val="Heading2"/>
      </w:pPr>
      <w:r>
        <w:t>Related Work</w:t>
      </w:r>
    </w:p>
    <w:p>
      <w:r>
        <w:t>Existing empirical approaches use difference-in-differences (DiD), staggered-adoption event studies, shift-share instruments, spatial econometric models, and production-based TFP estimators. DiD and staggered DiD methods can be biased when treatment timing varies and effects are heterogeneous; recent event-study corrections address but do not fully eliminate weight distortions or negative-weight issues. Shift-share instruments exploit national/cohort shocks times regional shares but can be invalid if donor shocks are correlated with regional shocks or if shares respond to outcomes; common practical gaps include how to construct time-invariant versus time-varying shares and leave-one-out implementations. Spatial models capture spillovers but often lack pre-registered exclusion tests for spatial instruments and can mis-specify spatial weights. Measurement of regional TFP is sensitive to estimator choice (Solow residual, Olley–Pakes, Levinsohn–Petrin, Ackerberg–Caves–Frazer) and to correlated measurement error. Small numbers of country clusters and geocoding uncertainty for multi-region projects remain under-addressed in prior work.</w:t>
      </w:r>
    </w:p>
    <w:p>
      <w:r>
        <w:t xml:space="preserve"> </w:t>
      </w:r>
    </w:p>
    <w:p>
      <w:pPr>
        <w:pStyle w:val="Heading2"/>
      </w:pPr>
      <w:r>
        <w:t>Abstract</w:t>
      </w:r>
    </w:p>
    <w:p>
      <w:r>
        <w:t>This project estimates the causal effect of EU structural and investment funds on regional total factor productivity (TFP) using a pre-registered, spatially aware identification strategy. We combine dynamic spatial panels with distributed lags, shift-share and spatial instrumental variables, and staggered-adoption event estimators to separate direct and spillover effects over short, medium and long horizons. We build a harmonized NUTS2/NUTS3 panel linking project-level disbursements (mapped probabilistically when projects span regions) to multiple TFP measures and absorptive-capacity covariates. The main contributions are (1) explicitly pre-registered construction and diagnostics for shift-share and spatial IVs, (2) a decision protocol for aggregation of cohort ATTs and for detecting timing-bias in staggered DiD, and (3) measurement-error corrections (SIMEX, multiple imputations) and small-cluster inference rules. The expected outcome is robust, policy-relevant estimates of how EU funds affect regional productivity and through which channels, with transparent diagnostics that support credible causal interpretation.</w:t>
      </w:r>
    </w:p>
    <w:p>
      <w:r>
        <w:t xml:space="preserve"> </w:t>
      </w:r>
    </w:p>
    <w:p>
      <w:pPr>
        <w:pStyle w:val="Heading2"/>
      </w:pPr>
      <w:r>
        <w:t>Experiments</w:t>
      </w:r>
    </w:p>
    <w:p>
      <w:r>
        <w:t>Datasets: ESIF project- and program-level disbursements (mapped to NUTS2/3), annual regional GDP, employment, capital stocks, sector shares (NACE Rev.2), R&amp;D and human-capital proxies, governance indices, commuting/trade flows for economic distance, and firm-level microdata where available. TFP measures: Solow residual, Olley–Pakes (OP), Levinsohn–Petrin (LP), Ackerberg–Caves–Frazer (ACF) aggregated to region. Baselines: (A) Callaway–Sant’Anna group-time ATT (staggered DiD) with cohort-specific and population-weighted pooled ATT (population-weighted baseline; sensitivity to cohort-size and balanced weights); event window normalized at t=-1 with leads up to 3 and lags up to 5. (B) Dynamic spatial Durbin model (DSDM): log TFP_it = α_i + δ_t + ρ W log TFP_it + Σ_{k=0}^5 β_k Funds_{i,t-k} + θ W Funds_it + X_it'γ + W X_it'δ + ε_it. (C) IVs: shift-share IVs (pre-determined regional shares × exogenous cohort shocks) with leave-one-out shares and spatial IVs (neighbors' eligibility/disbursement instruments). (D) Dynamic panel estimators: bias-corrected LSDV (baseline if T≥15), system GMM (collapsed instruments) and LIML/AR/CLR robust CIs under weak-IVs. Complementary: synthetic control for selected regions with RMSPE ratio threshold &lt;2. Evaluation metrics and diagnostics: cohort ATTs, cumulative Σβ_k, first-stage F and effective F, Anderson–Rubin / conditional likelihood ratio CIs, wild-cluster bootstrap p-values, placebo-lead coefficients, McCrary density and covariate balance at cutoffs, RMSPE for synthetic control, measurement-error attenuation estimates from SIMEX, and direct/indirect spillover effects from DSDM. Ablations: (1) omit SIMEX/EIV corrections; (2) replace population-weighted ATT with cohort-size and balanced weighting; (3) drop country×year fixed effects; (4) use alternative W matrices (queen contiguity, inverse-distance ≤200 km, k=5 nearest, economic-distance); (5) reduce probabilistic geo-allocation draws from 100 to 0 (deterministic allocation). Pre-specified processing: trim funds per-capita at 1st/99th percentiles, multiple imputation m=20, geo-allocation draws=100, report all results across these variants.</w:t>
      </w:r>
    </w:p>
    <w:p>
      <w:r>
        <w:t xml:space="preserve"> </w:t>
      </w:r>
    </w:p>
    <w:p>
      <w:pPr>
        <w:pStyle w:val="Heading2"/>
      </w:pPr>
      <w:r>
        <w:t>Risk Factors And Limitations</w:t>
      </w:r>
    </w:p>
    <w:p>
      <w:r>
        <w:t>Weak or invalid instruments: shift-share or spatial IVs may violate exclusion if donor shocks correlate with regional shocks; weak instruments can bias estimates despite LIML or AR/CLR. Non-classical measurement error: input measurement errors correlated with funding intensity may invalidate SIMEX/EIV assumptions. Staggered timing bias: heterogeneous dynamic effects can create negative weights or misleading pooled ATT; cohort-specific estimates may have low precision. Spatial misspecification: incorrect spatial weights or omitted cross-border links can misattribute spillovers. Country-time confounders: national policies that vary by year can absorb variation; if country×year fixed effects are required, identification relies only on within-country cross-region shocks which may be small. Small-cluster inference: few countries can limit statistical power and reliable p-values. Data access and geocoding: restricted microdata or ambiguous project geocoding can limit triangulation and increase uncertainty. Compute and scalability: dynamic spatial IV and bootstrapped robustness suites require substantial compute time for large panels.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