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true_pricing_orthogonalization</w:t>
      </w:r>
    </w:p>
    <w:p>
      <w:r>
        <w:t xml:space="preserve"> </w:t>
      </w:r>
    </w:p>
    <w:p>
      <w:pPr>
        <w:pStyle w:val="Heading2"/>
      </w:pPr>
      <w:r>
        <w:t>Title</w:t>
      </w:r>
    </w:p>
    <w:p>
      <w:r>
        <w:t>Orthogonalized attribution and emulator validation for decomposing monetized externalities in consumer true pricing</w:t>
      </w:r>
    </w:p>
    <w:p>
      <w:r>
        <w:t xml:space="preserve"> </w:t>
      </w:r>
    </w:p>
    <w:p>
      <w:pPr>
        <w:pStyle w:val="Heading2"/>
      </w:pPr>
      <w:r>
        <w:t>Short Hypothesis</w:t>
      </w:r>
    </w:p>
    <w:p>
      <w:r>
        <w:t>Applying an orthogonalization-based attribution pipeline together with multi-method sensitivity (Shapley and structural attribution) reduces pairwise correlation between monetized true-price components by at least 20% relative to naive additive monetization for product-level life-cycle outputs.</w:t>
      </w:r>
    </w:p>
    <w:p>
      <w:r>
        <w:t xml:space="preserve"> </w:t>
      </w:r>
    </w:p>
    <w:p>
      <w:pPr>
        <w:pStyle w:val="Heading2"/>
      </w:pPr>
      <w:r>
        <w:t>Related Work</w:t>
      </w:r>
    </w:p>
    <w:p>
      <w:r>
        <w:t>Existing work combines life-cycle assessment (LCA, which measures physical flows across a product's life) with monetization factors to produce 'true price' estimates. Prior approaches often sum monetized endpoints (climate, health, water, biodiversity, social) directly, which can cause double-counting and high correlation among components. Sensitivity and attribution methods from explainable ML (Shapley-value decompositions, which allocate contribution fairly based on cooperative game theory) have been applied to attribution but scale poorly and require baseline choices. Surrogate emulators (fast models that imitate expensive simulations) are used to speed up Monte Carlo uncertainty runs but need careful validation. Biodiversity and non-market valuation remain weakly supported and often reported as non-monetary indicators. Provenance and versioned monetization registries have been proposed but lack standard governance. Limitations in current methods include unresolved double-counting, inadequate diagnostic suites for overlap, high computational cost for fair-attribution methods in high dimensions, thin validation of emulators, and sparse spatial biodiversity valuation.</w:t>
      </w:r>
    </w:p>
    <w:p>
      <w:r>
        <w:t xml:space="preserve"> </w:t>
      </w:r>
    </w:p>
    <w:p>
      <w:pPr>
        <w:pStyle w:val="Heading2"/>
      </w:pPr>
      <w:r>
        <w:t>Abstract</w:t>
      </w:r>
    </w:p>
    <w:p>
      <w:r>
        <w:t>We address the problem of defensibly decomposing monetized externalities into independent, explainable components for consumer-facing true-price labels. We propose a pipeline that (1) enforces fixed functional units and spatial mapping of flows, (2) runs Monte Carlo life-cycle ensembles, (3) applies pre-specified orthogonalization diagnostics and residualization to remove overlap between endpoints (orthogonalization means making components statistically independent where overlap exists), and (4) reports multi-method attributions including Shapley-value and structural-attribution comparisons. To enable real-time use, we train and validate surrogate emulators (fast models that predict Monte Carlo outputs) with strict holdout and coverage tests. The main contribution is a pre-specified, testable protocol that combines overlap diagnostics, order-invariant sensitivity checks, and validated emulators to produce componentized true prices with documented uncertainty and provenance. Expected outcomes are lower attribution overlap, reproducible attribution diagnostics, emulator performance guarantees (calibration and coverage), and a benchmarking suite for monetization registries and label outputs.</w:t>
      </w:r>
    </w:p>
    <w:p>
      <w:r>
        <w:t xml:space="preserve"> </w:t>
      </w:r>
    </w:p>
    <w:p>
      <w:pPr>
        <w:pStyle w:val="Heading2"/>
      </w:pPr>
      <w:r>
        <w:t>Experiments</w:t>
      </w:r>
    </w:p>
    <w:p>
      <w:r>
        <w:t>Datasets: Ecoinvent or comparable LCI for inventories (or test synthetic LCI if proprietary), Agribalyse for food cases, FAOSTAT for flows, WHO/GBD health burden tables, IIASA/GAINS air-pollutant damage factors, IUCN range maps for biodiversity, World Bank WDI for PPP and economic parameters. Preprocessing: map each SKU to supply-region polygons, compute physical flows Q_f,l per functional unit, and normalize currency-year. Monte Carlo gold standard: run 10,000 draws per SKU sampling CF (characterization factors), location weights, and monetization V_k distributions. Orthogonalization protocol: compute diagnostics per run (VIF, pairwise Pearson corr, condition number, eigenvalue ratio). Thresholds: VIF&gt;10 or corr&gt;0.8 trigger residualization (regress overlapping endpoint on others and use residual). Attribution methods: (A) naive additive monetization baseline, (B) orthogonalized residualization pipeline, (C) Shapley-value decomposition (Monte Carlo Shapley sampling), (D) structural attribution where causal mediation is feasible. Surrogate emulators: train Gaussian process and neural network emulators on 80% of Monte Carlo ensembles and hold out 20% for validation. Evaluation metrics: mean pairwise Pearson correlation between monetized components, VIF distribution, mean absolute difference of component medians vs gold standard, Shapley vs orthogonalization median differences, 90% interval coverage rate (fraction of held-out draws captured), emulator RMSE and calibration (coverage error), Shapley computation time and approximation error, API latency (ms) and per-query cloud cost ($). Ablations: remove orthogonalization step, replace residualization with order-invariant orthogonal methods (e.g., Gram-Schmidt variants), vary Monte Carlo draws (1k, 5k, 10k), compare emulator types and training sizes, and run DP (differential privacy) noise with epsilons = 0.5, 1.0, 2.0 to measure utility loss (MAE increase). Secondary pilot: lab consumer A/B with N=400 (200 per arm) comparing label showing decomposed components (orthogonalized) versus naive sum; metrics: comprehension score (quiz), perceived fairness (Likert), and binary choice in simulated purchase. Reporting: provide per-SKU diagnostic bundle (pre/post diagnostics, multi-method attribution, emulator holdout results) and automated reproducibility scripts.</w:t>
      </w:r>
    </w:p>
    <w:p>
      <w:r>
        <w:t xml:space="preserve"> </w:t>
      </w:r>
    </w:p>
    <w:p>
      <w:pPr>
        <w:pStyle w:val="Heading2"/>
      </w:pPr>
      <w:r>
        <w:t>Risk Factors And Limitations</w:t>
      </w:r>
    </w:p>
    <w:p>
      <w:r>
        <w:t>Technical failure modes: residualization may introduce bias if omitted confounders exist (residuals are not causal effects); Shapley methods scale poorly with high-dimensional inputs and approximation error can be large. Data biases: LCI and monetization sources vary by region and version, creating systematic error and limited generalization across supply chains. Biodiversity limits: spatial and valuation data are sparse; many impacts will remain non-monetized or have large transfer errors. Emulator risks: surrogates can be miscalibrated, producing overconfident uncertainty if holdout tests are insufficient. Compute and cost: full Monte Carlo for complex SKUs is expensive at scale; surrogate training and Shapley sampling add cost. Privacy and DP: adding noise for privacy (differential privacy) reduces accuracy; choosing epsilon is a trade-off and utility loss may impair label usefulness. Evaluation limitations: lab pilot outcomes may not generalize to real-world shopping; cluster or supply-chain nonresponse and missing supplier data will bias audits. Governance constraints: versioning and dispute processes may delay updates and reduce timeliness of monetization registry changes.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