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airline_product_diff_markup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Structural BLP estimation of how product differentiation affects markups and welfare in the U.S. airline industry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increase in product differentiation between carriers on a route causes higher airline markups (price minus marginal cost as measured by Lerner indices) on that route, holding market concentration and observable costs constant.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fall into three broad groups: reduced-form studies that estimate price responses to entry or low-cost carrier presence (simple regressions), structural demand-supply methods that use random-coefficients discrete-choice models (BLP-style) to recover substitution patterns and invert first-order conditions to infer marginal costs and markups, and dynamic pricing models that model fare-class availability and inventory over time (CCP or Rust-style). Limitations across these methods include weak measurement of multi-dimensional differentiation (schedules, fare classes, loyalty, ancillaries), difficulty separating fixed/sunk versus avoidable variable costs when allocating joint costs, endogeneity of prices and product attributes (instruments are often weak or untested), limited treatment of multi-product firm internalization and revenue management, and sparse integration of ancillaries and loyalty transfers into welfare accounting. Prior work also often lacks pre-registered falsification tests, calibrated power analysis, or large-scale Monte-Carlo diagnostics tied to DB1B/T-100 data features.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how airline product differentiation (route overlap, schedules, service quality, fare-class segmentation, frequent-flyer links, and ancillaries) changes markups and welfare in U.S. air travel. We estimate a structural demand model using a random-coefficients discrete-choice framework (BLP, where random-coefficients means consumer tastes vary across people) and recover substitution patterns. We invert multi-product first-order conditions of a differentiated-products oligopoly to back out marginal costs and Lerner markups (Lerner index = (price - marginal cost)/price). Identification exploits exogenous shocks and instruments such as FAA slot reassignments, terminal openings, weather disruptions, fuel-cost exposure, and lagged rival networks. We pre-register falsification tests, Monte-Carlo power analyses calibrated to DB1B/T-100 moments, and alternative cost allocations (per-seat marginal cost versus average-variable cost). The main contribution is a route- and segment-level decomposition of how each differentiation dimension affects competition and welfare, producing policy-relevant counterfactuals for mergers, slot policy, and ancillary regulation.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DB1B ticket microdata (expanded to population), T-100 segment and cost proxies, MarketFare/ARC ancillary indicators, CIRP passenger segmentation, FAA slot and facility event logs, schedule data (OAG/Diio), and fuel price series. Panel unit: route (origin-destination CBSA)-carrier-quarter. Baselines: (A) reduced-form OLS regressions of price on differentiation measures, (B) nested logit demand with supply inversion, (C) standard BLP random-coefficients without latent ML index, (D) BLP with ML-derived latent differentiation index. Structural estimation: use PyBLP to estimate demand parameters (simulate integrals with 1,000 draws), compute ∂s/∂p Jacobian, and invert multi-product FOC p - mc = (Ω ⊙ Δ)^{-1} s to recover mc (Ω = ownership matrix, Δ = price derivative matrix). Instruments: BLP-style leave-out characteristics, lagged rival frequencies, slot reassignments, fuel×fleet interactions, weather shocks. Evaluation metrics: share-prediction RMSE, own- and cross-price elasticities, Lerner index (mean and distribution), compensating variation per passenger (money metric of welfare change), first-stage partial R2 and F-statistics, Monte-Carlo calibrated minimum detectable effects (MDE), and placebo p-values. Experimental setup: estimate models on full panel; compute markups and welfare by route, carrier, and passenger type (business vs leisure, using CIRP or booking proxies). Counterfactuals: simulate (i) merger between named carriers, (ii) slot reallocation at major hub, (iii) entrant/exit. Ablations: (1) drop latent ML index to test its contribution; (2) alternative cost allocators (ASM-share, distance-adjusted ASM, parametric T-100 marginal cost); (3) estimate without instruments to show bias. Reporting: present sensitivity of markups and welfare to instrument sets, cost definitions, and demand nests. All runs include Monte-Carlo power checks calibrated to DB1B/T-100 moments and IV strength thresholds.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weakness: FAA slot and terminal shocks may correlate with unobserved carrier cost changes, producing weak or invalid instruments. DB1B sampling and itinerary misallocation: the 10% sample and multi-leg itineraries can bias fares and shares; bootstrap and bounding widen confidence intervals. Cost allocation ambiguity: separating fixed, sunk, and avoidable variable costs in T-100 is imprecise; markups vary with per-seat marginal vs average-variable definitions. Dynamic pricing and capacity endogeneity: fare-class availability and capacity choices may reflect strategic investment, so short-run CCP estimates may not capture long-run equilibrium responses. Computation and scalability: PyBLP with large panels and many random draws is compute-intensive and may require HPC; convergence failures or long runtimes are possible. Generalization limits: results reflect U.S. market structure and data; findings may not transfer to other countries or to periods with major technological shifts. Data licensing: DB1B/T-100 contain restricted fields; replication will require synthetic/redacted artifacts and cannot fully release raw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