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women_tech_founders_gender_germany</w:t>
      </w:r>
    </w:p>
    <w:p>
      <w:r>
        <w:t xml:space="preserve"> </w:t>
      </w:r>
    </w:p>
    <w:p>
      <w:pPr>
        <w:pStyle w:val="Heading2"/>
      </w:pPr>
      <w:r>
        <w:t>Title</w:t>
      </w:r>
    </w:p>
    <w:p>
      <w:r>
        <w:t>Mixed-methods longitudinal and audit-experimental study of how gendered performances affect investor responses to women tech founders in Germany</w:t>
      </w:r>
    </w:p>
    <w:p>
      <w:r>
        <w:t xml:space="preserve"> </w:t>
      </w:r>
    </w:p>
    <w:p>
      <w:pPr>
        <w:pStyle w:val="Heading2"/>
      </w:pPr>
      <w:r>
        <w:t>Short Hypothesis</w:t>
      </w:r>
    </w:p>
    <w:p>
      <w:r>
        <w:t>When founder profiles signal migration background or caregiving responsibilities, investors are more likely to invite profiles that present masculine-framed pitch language than equivalent profiles that present feminine-framed pitch language.</w:t>
      </w:r>
    </w:p>
    <w:p>
      <w:r>
        <w:t xml:space="preserve"> </w:t>
      </w:r>
    </w:p>
    <w:p>
      <w:pPr>
        <w:pStyle w:val="Heading2"/>
      </w:pPr>
      <w:r>
        <w:t>Related Work</w:t>
      </w:r>
    </w:p>
    <w:p>
      <w:r>
        <w:t>Prior research treats gender as enacted in interaction (doing gender) and has applied performativity and intersectionality to entrepreneurship. Empirical approaches include qualitative ethnographies of founder identity, audit/field experiments testing investor bias, text-based analyses of pitch language, and social network studies of funding ties. Limitations: few longitudinal interactional studies across venture life cycles; scarce intersectional analyses combining migration, class, and caregiving; limited integration of material artifacts (pitch decks, product design) with interactional data; many NLP measures of gendered language lack robust validation for German variants and domain shift; audit experiments often use single-message units and do not block or account for clustering at the investor level; and causal strategies (IVs, DiD) are rarely pre-registered with thorough falsification tests. These gaps reduce causal credibility, generalizability to German ecosystems, and the ability to trace micro-interactional mechanisms.</w:t>
      </w:r>
    </w:p>
    <w:p>
      <w:r>
        <w:t xml:space="preserve"> </w:t>
      </w:r>
    </w:p>
    <w:p>
      <w:pPr>
        <w:pStyle w:val="Heading2"/>
      </w:pPr>
      <w:r>
        <w:t>Abstract</w:t>
      </w:r>
    </w:p>
    <w:p>
      <w:r>
        <w:t>This project tests whether and how signals of structural scrutiny (migration background, caregiving responsibilities) interact with pitch style to shape investor responses to women tech founders in Germany. We combine longitudinal observational data (Handelsregister, Crunchbase, LinkedIn), annotated pitch artifacts, multi-sited ethnography, and an audit experiment that randomizes founder profile signals and pitch framing to investor contacts. Main contribution: causal evidence on interactional mechanisms linking intersectional signals, gendered pitch performances (masculine vs. feminine framing), and investor behavior, with validated NLP measures for German pitch materials and pre-registered identification tests. Expected outcome: quantifiable estimates of how intersectional signals modify investor selection biases and a reproducible measurement pipeline (annotated corpus and synthetic data) for future research and policy evaluation.</w:t>
      </w:r>
    </w:p>
    <w:p>
      <w:r>
        <w:t xml:space="preserve"> </w:t>
      </w:r>
    </w:p>
    <w:p>
      <w:pPr>
        <w:pStyle w:val="Heading2"/>
      </w:pPr>
      <w:r>
        <w:t>Experiments</w:t>
      </w:r>
    </w:p>
    <w:p>
      <w:r>
        <w:t>1) Datasets: (a) Observational panel: German-registered tech firms (Handelsregister merged with Crunchbase and LinkedIn) founded 2015–2025, N_target≈1,200 founders with metadata (region, sector, stage, accelerator status). (b) Artifact corpus: annotated pitch decks, investor Q&amp;A transcripts, website copy, marketing materials, target n_texts=2,400. (c) Consented validation survey: stratified n=400 founders for self-reported migration, caregiving, and SES. (d) Audit experiment: randomized outreach to active investors (angel/VC) with matched synthetic founder profiles, total impressions N≈1,200. 2) Audit experiment design: unit = investor × profile message; each investor receives randomized blocks of profiles; randomization scheme: profiles randomized within blocks stratified by investor region (Berlin/Munich/Hamburg/Ruhr/other), investor firm size (solo/SME/large VC), and sector preference; clustering at investor level accounted for in analysis; intraclass correlation (ICC) assumption for power = 0.05; two-sided α=0.05; primary outcome = meeting invitation rate (binary). 3) Experimental arms: factorial 2×2: (A) intersectional signal (present vs absent: migration/caregiving cues) × (B) pitch framing (masculine-framed language vs feminine-framed language). 4) Baselines and ablations: Baseline A = logistic regression with standard covariates (sector, stage, region). Baseline B = text-only classifier (lexicon-based). Ablations: remove intersectional signals, remove artifact features (deck metrics), remove network controls; compare models with and without NLP-derived gendered-language scores. 5) NLP pipeline and validation: lexicon + supervised classifiers trained on annotated corpus (train/val/test 60/20/20); models: regularized logistic regression on bag-of-words, and a German transformer language model (a neural model pre-trained on German text) fine-tuned for classification; evaluation metrics: precision, recall, F1, AUC; target classifier thresholds: precision≥0.80 and recall≥0.80 where possible. 6) Observational causal tests: panel fixed-effects regressions for founder-level outcomes (funding amounts, follow-up meetings), difference-in-differences (DiD) for staggered adoption of gender-aware accelerator programs, and IV where plausible (pre-specified instrument: distance to accelerator office; diagnostics: first-stage F&gt;10, event-study pre-trends, placebo outcomes). 7) Statistical inference: primary analysis reports average treatment effects (ATE) with clustered standard errors at investor level for the audit; adjust for multiple outcomes using Benjamini–Hochberg false discovery rate; sensitivity tables for two-sided tests and Bonferroni correction provided. 8) Uncertainty propagation: measurement-error correction via regression-calibration and multiple-imputation of true covariates using posterior draws from Bayesian IRT fitted on the validation survey; propagate posterior draws through downstream ATE estimation and report pooled intervals. 9) Power and MDE: audit experiment powered for 80% power to detect an 8 percentage-point difference in meeting invites between framing arms (ICC=0.05, two-sided α=0.05); observational panel power tables published with variance, baseline rates, and ICC sensitivity from 0.01–0.10. 10) Evaluation metrics: primary = meeting-invite rate (binary) and funding-conversion rate (binary); secondary = masculinity language score (continuous), classifier precision/recall, ATE with 95% CI, network centrality effects. 11) Reproducibility: all code, seeds, and pre-registered analysis plans uploaded to OSF; release synthetic artifact corpus and annotation guidelines with disclosure risk metrics.</w:t>
      </w:r>
    </w:p>
    <w:p>
      <w:r>
        <w:t xml:space="preserve"> </w:t>
      </w:r>
    </w:p>
    <w:p>
      <w:pPr>
        <w:pStyle w:val="Heading2"/>
      </w:pPr>
      <w:r>
        <w:t>Risk Factors And Limitations</w:t>
      </w:r>
    </w:p>
    <w:p>
      <w:r>
        <w:t>1) Selection bias: founders who consent or have public data may differ from population; oversamples may still be non-representative. 2) Misclassification: migration and caregiving inferred from public data can be wrong; corrected via validation but residual error remains. 3) Audit ethics and legal risk: minimal-deception audits require IRB/DPO approval and debriefing; some investors may decline participation. 4) NLP generalization: German-language variants and domain shift (pitch decks vs LinkedIn) may reduce classifier accuracy and bias subgroup detection. 5) Small subgroup sample sizes: intersectional subgroups (e.g., migrant single parents) may be underpowered for interaction tests. 6) Causal ID limits: proposed instruments (accelerator proximity, program rollouts) may violate exclusion if correlated with unobserved local startup quality; falsification tests can reduce but not eliminate this risk. 7) Privacy/GDPR constraints: sharing raw artifacts and sensitive attributes is restricted; synthetic data reduce utility. 8) Compute and annotation cost: 2,400 annotations and transformer fine-tuning require time and compute resources; delays possible. 9) External validity: findings in German ecosystems may not generalize to other national contexts. 10) Measurement propagation complexity: propagating Bayesian posterior uncertainty through complex pipelines increases computational burden and complicates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