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export_experimentation_framework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Causal experimental framework for evaluating channel, pricing, and partner strategies to optimize exporter go-to-market performance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Running pre-registered randomized channel and pricing experiments combined with partner selection using a validated Partner Fit Scorecard causes at least a 20% reduction in customer acquisition cost (CAC) and a 20% reduction in time-to-first-sale versus standard non-experimental entry within a 16-week pilot.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groups: (1) practitioner playbooks and checklists that provide stepwise market-entry guidance but lack causal validation; (2) digital A/B testing methods that measure messaging and conversion online but typically ignore offline channels, partner networks, and regulatory frictions; (3) econometric and causal-inference tools (difference-in-differences, synthetic controls, instrumental variables) used for policy evaluation but rarely integrated into firm-level go-to-market experiments. Limitations: playbooks do not provide transportable, quantified decision rules; standard A/B testing omits partner-cluster structure and spillovers (leading to biased SEs); partner selection is often heuristic without predictive validation; regulatory readiness is rarely modeled as a moderator; and most prior analyses lack pre-registered estimands, missing-data plans, and thresholded go/no-go rules needed for operational scaling.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causal experimental framework to test which combinations of channel, pricing, and partner strategies most quickly and cheaply deliver first sales in new export markets. The method uses pre-registered randomized trials (lead-level A/B tests, cluster-randomized partner trials), quasi-experimental designs (difference-in-differences and synthetic control where randomization is infeasible), and validated predictive partner scorecards (machine-learning models with interpretable explanations). Regulatory readiness is encoded as a numeric covariate and treated as a moderator. Primary outputs are statistically identified estimates of treatment effects (intent-to-treat and local average treatment effects), calibrated Monte Carlo LTV/IRR simulations, and decision gates with explicit thresholds for scale/terminate. The main contribution is an operational, reproducible pipeline that maps buyer-journey insights into testable pilots and produces validated go-to-market rules for exporters. Expected outcomes are quantified channel economics, partner-selection heuristics, and capability-sequencing recommendations that are transportable to similar export contexts.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CRM leads and conversions, landing-page analytics, ERP sales ledger, partner-level onboarding and fulfillment logs, payment/default records, customs/trade data (HS codes, volumes), regulatory certification timelines, customer surveys. Baselines: current non-experimental channel mix performance (historical CAC, conversion, time-to-first-sale) and checklist-based partner selection. Primary metrics: qualified-lead conversion rate, CAC, time-to-first-sale, uptake rate, default rate, gross margin, LTV/CAC, IRR. Secondary metrics: complaint rate, onboarding time, compliance incidents. Pilot 1 — Localized Value-Proposition A/B: unit=randomized lead; two landing-page propositions; sample-size example n≈11,170 visitors/arm (baseline p0=0.04, p1=0.05); analysis: ITT estimate, cluster-robust SEs, logistic robustness. Pilot 2 — Channel Comparison: unit=partner cluster (distributor, marketplace, direct); cluster RCT with ~16 partners/arm, ~20 customers/partner; outcome=CAC and CAC payback; DEFF adjustment with ICC=0.05; analysis: cluster-robust means, DiD with pre-period baseline. Pilot 3 — Pricing &amp; Payment RCT: unit=randomized prospect; n≈2,310/arm (baseline uptake 0.10, MDE=0.03); outcomes=uptake, default; analysis: ITT, LATE via 2SLS if noncompliance. Partner Incentive Experiment: cluster randomize incentive contracts across distributors; outcome=partner activation/retention and incremental revenue. Quasi-experiment use: synthetic control for market-level pilots where randomization is infeasible; donor pool chosen on pre-treatment sales and regulatory covariates. Missing data: MICE (multiple imputation by chained equations) with m = max(20, ceil(100*fraction_missing)); predictors include baseline outcomes, firm size, product category, regulatory-friction score. Multiple-testing: define families per pilot (family A: primary outcomes; family B: secondary outcomes); gatekeeping for family A, Benjamini–Hochberg FDR for family B. Pre-specified comparisons/ablations: (A) partner selection ablation — Partner Fit Scorecard vs checklist baseline; (B) regulatory moderation ablation — models with and without market regulatory-friction covariate to estimate interaction effects; (C) clustering level ablation — partner vs market clustering. Inference: report ITT, LATE (2SLS), DiD with event-study pre-trend checks, synthetic control RMSPE and placebo distributions. Decision rule: scale if CAC reduction ≥20% and statistically significant (α=0.05) and probability(IRR≥target_IRR)≥0.8 by Monte Carlo. Power examples: A/B lead test n≈10,150/arm (plus 10% attrition); channel test ~16 partners/arm; pricing test ~2,100/arm (plus 10% attrition).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Insufficient sample sizes in some markets or low conversion rates leading to underpowered tests; spillovers and cannibalization across channels violating SUTVA (stable unit treatment value assumption), biasing ITT estimates; noncompliance with assigned treatments producing partial take-up and requiring strong IV assumptions (exclusion restriction must hold); measurement error in partner-reported metrics and customs data; missing data that may be missing-not-at-random (MNAR) and invalidate MICE assumptions; heterogeneity across markets (regulatory shocks, tariffs, FX) limiting external validity; partner selection bias if historical labeled outcomes are sparse for ML models; legal and antitrust risks for pricing experiments if protocols are not strictly unilateral; compute cost and time for large Monte Carlo simulations and copula-based correlation estimation; operational delays from regulatory certification that can change sample composition and timing; limited scalability where partner networks are small or concentrated, reducing ability to randomize at cluster level.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