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precommitments_international_performance</w:t>
      </w:r>
    </w:p>
    <w:p>
      <w:r>
        <w:t xml:space="preserve"> </w:t>
      </w:r>
    </w:p>
    <w:p>
      <w:pPr>
        <w:pStyle w:val="Heading2"/>
      </w:pPr>
      <w:r>
        <w:t>Title</w:t>
      </w:r>
    </w:p>
    <w:p>
      <w:r>
        <w:t>Causal estimation of the effect of entrepreneurial pre-commitments on internationalization performance using staggered difference-in-differences and panel instrumental variables</w:t>
      </w:r>
    </w:p>
    <w:p>
      <w:r>
        <w:t xml:space="preserve"> </w:t>
      </w:r>
    </w:p>
    <w:p>
      <w:pPr>
        <w:pStyle w:val="Heading2"/>
      </w:pPr>
      <w:r>
        <w:t>Short Hypothesis</w:t>
      </w:r>
    </w:p>
    <w:p>
      <w:r>
        <w:t>Firms that make relational pre-commitments (for example, multi-year exclusive distributor contracts) before receiving full market feedback causally enter foreign markets faster and achieve higher short-term export sales but exhibit lower long-run sales growth compared with comparable firms that do not make such pre-commitments.</w:t>
      </w:r>
    </w:p>
    <w:p>
      <w:r>
        <w:t xml:space="preserve"> </w:t>
      </w:r>
    </w:p>
    <w:p>
      <w:pPr>
        <w:pStyle w:val="Heading2"/>
      </w:pPr>
      <w:r>
        <w:t>Related Work</w:t>
      </w:r>
    </w:p>
    <w:p>
      <w:r>
        <w:t>Prior work divides into two strands. One strand develops effectuation theory and uses qualitative case methods to describe how entrepreneurs use pre-commitments to mobilize stakeholders and reduce downside; these studies richly document mechanisms but do not provide causal estimates or standardized measures. The other strand in international business uses archival cross-sectional or panel regressions to link investments (FDI, subsidiaries), contractual arrangements, or branding to international performance; these studies often measure commitments with coarse proxies, face endogeneity (reverse causality and omitted variables), and rarely unpack timing or reversibility. Methodological work on causal inference for staggered treatments and on mediation in panels offers modern tools (event-study DiD, IV, structural equation models) but has not been widely applied to operationalized pre-commitment typologies. Limitations across existing approaches include weak identification, crude measurement of commitment types, lack of triangulation with documents/interviews, and insufficient tests of mediators and moderators.</w:t>
      </w:r>
    </w:p>
    <w:p>
      <w:r>
        <w:t xml:space="preserve"> </w:t>
      </w:r>
    </w:p>
    <w:p>
      <w:pPr>
        <w:pStyle w:val="Heading2"/>
      </w:pPr>
      <w:r>
        <w:t>Abstract</w:t>
      </w:r>
    </w:p>
    <w:p>
      <w:r>
        <w:t>This study tests whether entrepreneurial pre-commitments—concrete, often irreversible choices made before full market feedback—causally shape firm internationalization outcomes. We combine a theory-driven typology and document-based coding of pre-commitments (relational, monetary/asset, legal/structural, identity) with modern causal methods to estimate effects on entry speed, short-term sales, long-run growth, and survival. The empirical approach uses staggered difference-in-differences (modern estimators that account for different treatment timing) and panel instrumental variables based on exogenous policy shocks to isolate causal impacts, and structural models to test mediation by stakeholder commitment and learning. Main contributions are (1) operational measures of commitment type, timing, and reversibility anchored in archival evidence and interviews; (2) causal estimates of heterogeneous short- and long-run effects across commitment types; and (3) pre-specified mediation and boundary analyses by institutional distance and firm experience. Expected outcomes are defensible causal estimates that clarify trade-offs of pre-commitments for international strategy.</w:t>
      </w:r>
    </w:p>
    <w:p>
      <w:r>
        <w:t xml:space="preserve"> </w:t>
      </w:r>
    </w:p>
    <w:p>
      <w:pPr>
        <w:pStyle w:val="Heading2"/>
      </w:pPr>
      <w:r>
        <w:t>Experiments</w:t>
      </w:r>
    </w:p>
    <w:p>
      <w:r>
        <w:t>Datasets: Orbis/Amadeus firm panels (subsidiaries, assets, financials), SDC Platinum deals (investments, JV announcements), UN Comtrade / BACI (trade flows), CEPII DESTA (PTA timing), national gazettes for export-credit reforms, and coded archival documents/interviews for 300 firms over 5+ years (pilot N=8 qualitative cases). Baselines: (A) pooled OLS, (B) firm fixed-effects (TWFE) panel regressions, (C) matched panel difference-in-differences (propensity score matching). Primary estimators: Callaway &amp; Sant’Anna event-study DiD and Sun &amp; Abraham cohort-aware estimators (both handle staggered treatment timing), and two-stage least squares (2SLS) IV using PTA ratification timing and export-promotion eligibility reforms as instruments. Mediation: panel structural equation modeling (SEM) with lagged mediators (stakeholder commitment, measured by survey items and coded evidence). Synthetic-control analyses for selected treated markets as case-level robustness. Outcomes and metrics: entry speed (years from incorporation to first export), short-term export sales growth (first 2 post-entry years), long-run sales growth (years 3–5), survival indicator (export continuation), profitability (ROA); report cohort average treatment effects on the treated (ATT) with 95% confidence intervals, event-study pre-trend p-values, IV first-stage F-statistics, Sargan/Kleibergen diagnostics, mediation proportion (share of total effect explained), and effect heterogeneity by institutional distance. Preprocessing &amp; coding: codebook rules for presence/timing/size/reversibility with double-coding on 30% of firm-years; provenance fields (source, docID, text span). Covariates and fixed effects: firm size, age, prior export experience, industry-year FE, country-year FE; default clustering at firm level and alternative clustering at country-sector-year. Ablations: (1) remove IV and run DiD-only; (2) vary reversibility threshold (e.g., 2-year vs 3-year cutoff); (3) run analyses using automated text-extraction codes only versus human-triangulated codes; (4) exclude relational commitments to isolate monetary/asset effects. Pre-specified event window: [-5,+5] years around treatment; report results under [-3,+3] and [-7,+7]. Multiple-testing: report family-wise error for primary outcomes.</w:t>
      </w:r>
    </w:p>
    <w:p>
      <w:r>
        <w:t xml:space="preserve"> </w:t>
      </w:r>
    </w:p>
    <w:p>
      <w:pPr>
        <w:pStyle w:val="Heading2"/>
      </w:pPr>
      <w:r>
        <w:t>Risk Factors And Limitations</w:t>
      </w:r>
    </w:p>
    <w:p>
      <w:r>
        <w:t>Instrument validity risk: PTA or policy shocks may affect firm outcomes through channels other than pre-commitments, violating exclusion and biasing IV estimates. Measurement error: automated text extraction and archival coding can misclassify commitment type, timing, or reversibility; misclassification attenuates estimates. Endogeneity and selection: unobserved founder traits or prior opportunity access may drive both pre-commitments and performance, challenging identification despite IV/DiD. Coding reliability: human adjudication may not fully resolve borderline cases, producing noise. Power and attrition: required sample (≈300 firms over 5 years) may be hard to assemble; firm exit reduces effective sample and raises survivorship bias. Heterogeneous timing: staggered treatment timing complicates aggregation and interpretation of ATT; negative weighting may arise in TWFE if not using modern estimators. External validity: findings may not generalize across industries, firm sizes, or country regimes. Data licensing: Orbis/SDC license restrictions limit public sharing of raw data and contract texts, constraining reproducibility. Computational limits: extensive text parsing and event-study permutations require substantial compute and careful version control.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