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pyrobuilds_incremental_multiconfig</w:t>
      </w:r>
    </w:p>
    <w:p>
      <w:r>
        <w:t xml:space="preserve"> </w:t>
      </w:r>
    </w:p>
    <w:p>
      <w:pPr>
        <w:pStyle w:val="Heading2"/>
      </w:pPr>
      <w:r>
        <w:t>Title</w:t>
      </w:r>
    </w:p>
    <w:p>
      <w:r>
        <w:t>Influence-set aware content-addressed incremental build with parameterized memoization and multi-configuration batching for efficient exploration of large configuration spaces</w:t>
      </w:r>
    </w:p>
    <w:p>
      <w:r>
        <w:t xml:space="preserve"> </w:t>
      </w:r>
    </w:p>
    <w:p>
      <w:pPr>
        <w:pStyle w:val="Heading2"/>
      </w:pPr>
      <w:r>
        <w:t>Short Hypothesis</w:t>
      </w:r>
    </w:p>
    <w:p>
      <w:r>
        <w:t>Making dependency provenance explicit and using influence-set aware parameterized cache keys together with multi-configuration batching reduces total wall-clock time to build N target configurations by at least 2x compared to full per-configuration clean rebuilds and by at least 1.5x compared to naïve per-configuration incremental caching, while producing bitwise-identical artifacts under hermetic execution.</w:t>
      </w:r>
    </w:p>
    <w:p>
      <w:r>
        <w:t xml:space="preserve"> </w:t>
      </w:r>
    </w:p>
    <w:p>
      <w:pPr>
        <w:pStyle w:val="Heading2"/>
      </w:pPr>
      <w:r>
        <w:t>Related Work</w:t>
      </w:r>
    </w:p>
    <w:p>
      <w:r>
        <w:t>Existing work on build acceleration includes content-addressed storage and Merkle-style DAGs (where every artifact and task is identified by a hash), build caches and memoization (reuse of previous outputs), and incremental build systems that record coarse dependencies (Make, ccache, Bazel, Nix). Prior methods commonly use coarse invalidation rules that re-run tasks when any configuration bit changes, which causes poor reuse when exploring many related configurations. Other limitations are lack of fine-grained provenance (which parameters actually influenced each task), limited parameterized cache keys that mix irrelevant flags into cache keys, and single-config scheduling that executes each configuration separately. Research tools for provenance and sandboxing exist but often do not combine parameterized memoization, minimal influence-sets, and batched multi-config scheduling. Gaps remain in safe influence shrinking, statistical auditability of influence inference, scalable config-mask representations for millions of configs, and quantified trade-offs between audit cost, cache storage, and end-to-end speedup.</w:t>
      </w:r>
    </w:p>
    <w:p>
      <w:r>
        <w:t xml:space="preserve"> </w:t>
      </w:r>
    </w:p>
    <w:p>
      <w:pPr>
        <w:pStyle w:val="Heading2"/>
      </w:pPr>
      <w:r>
        <w:t>Abstract</w:t>
      </w:r>
    </w:p>
    <w:p>
      <w:r>
        <w:t>We address the problem of efficiently exploring large software configuration spaces during builds by designing an incremental build core that reuses work across many related configurations. The proposed method combines three elements: (1) explicit fine-grained provenance where tasks record the minimal subset of configuration parameters that affected them (influence sets), (2) content-addressed artifacts and parameterized cache keys that include only the influencing parameter values and input hashes, and (3) a multi-configuration scheduler that groups target configurations via a prefix trie and reuses cached outputs across configuration masks (bitsets). The main contribution is an auditable, testable pipeline that infers and validates influence sets (static over-approximation followed by dynamic shrinkage with statistical audits), computes conservative parameterized cache keys, and executes tasks in batched mode to maximize reuse. Expected outcome: substantially lower total build time and compute cost when enumerating many configurations, while retaining correctness guarantees under hermetic execution and providing quantitative audit evidence for influence shrinking decisions.</w:t>
      </w:r>
    </w:p>
    <w:p>
      <w:r>
        <w:t xml:space="preserve"> </w:t>
      </w:r>
    </w:p>
    <w:p>
      <w:pPr>
        <w:pStyle w:val="Heading2"/>
      </w:pPr>
      <w:r>
        <w:t>Experiments</w:t>
      </w:r>
    </w:p>
    <w:p>
      <w:r>
        <w:t>Datasets: three representative repositories: (A) small C project with feature flags (example: SQLite-style repo instrumented with 16 boolean flags), (B) medium C++ project with optional modules (approx 200k LOC, configurable components), (C) Python package with runtime feature toggles and test suite. Configuration sets: for each repo generate target sets of N = {100, 1000, 10000} configs sampled by (1) uniform random, (2) cluster-preserving sampling (grouped by common prefixes), and (3) adversarial single-bit flips. Baselines: (i) full clean rebuild per config, (ii) naïve incremental caching that keys on full config vector (no influence shrinking), (iii) existing build system incremental mode (Make/Bazel default). Metrics: total wall-clock time for full exploration of target set, total CPU-seconds, cache hit rate (fraction of task executions satisfied from cache), invalidation rate (fraction of previously cached artifacts invalidated), provenance metadata size (bytes), audit cost (wall time and compute for influence audit), and correctness failures (bytewise mismatches). Setup: hermetic sandboxing for task execution (isolated filesystem and fixed env), remote CAS simulated locally, bitset config masks implemented with Roaring bitmaps, and measurement via eBPF/perf. Evaluation protocol: run each experiment 5 times to compute median and 95% bootstrap confidence intervals. Statistical tests: report paired bootstrap CIs for speedups and use Clopper-Pearson intervals to quantify confidence in zero observed audit failures. Ablations and comparisons: (1) disable influence shrinking and compare speedup and invalidation rate; (2) replace parameterized cache keys with full-config keys; (3) disable multi-config batching and measure additional time; (4) vary audit sample sizes n = {30, 100, 300, 1000} to produce power curves using standard binomial sample-size formulas and show trade-off between audit cost and upper confidence bound on undetected false negatives. Correctness check: bytewise comparison of produced artifacts against fresh clean rebuild per-config for all sampled configs.</w:t>
      </w:r>
    </w:p>
    <w:p>
      <w:r>
        <w:t xml:space="preserve"> </w:t>
      </w:r>
    </w:p>
    <w:p>
      <w:pPr>
        <w:pStyle w:val="Heading2"/>
      </w:pPr>
      <w:r>
        <w:t>Risk Factors And Limitations</w:t>
      </w:r>
    </w:p>
    <w:p>
      <w:r>
        <w:t>Technical failure modes: nondeterministic build actions (tools that embed timestamps, random seeds, or network calls) can break reuse guarantees; correctness requires hermetic execution (isolated, deterministic environment). Influence inference limits: dynamic sampling may miss rare but important config-dependent behaviors leading to undetected false negatives; statistical audits provide confidence bounds but cannot prove absolute zero error. Scalability and performance limits: CAS metadata growth and config-mask storage may become large for millions of artifacts; CAS contention and linearizability costs can add latency under heavy concurrent writes. Audit cost: large audit sample sizes incur compute time and CI load; trade-offs exist between audit thoroughness and time-to-commit. GC and eviction risk: incorrect reference accounting or aggressive eviction policies can remove widely reused artifacts. Generalization limits: results measured on selected C/C++/Python projects may not transfer to build systems with highly dynamic runtime discovery or non-file outputs. Security and isolation assumptions: threat model assumes trustworthy sandboxing and authenticated CAS clients; a compromised execution environment can subvert provenance and correctness checks.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