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aligning_compliance_devops_longitudinal</w:t>
      </w:r>
    </w:p>
    <w:p>
      <w:r>
        <w:t xml:space="preserve"> </w:t>
      </w:r>
    </w:p>
    <w:p>
      <w:pPr>
        <w:pStyle w:val="Heading2"/>
      </w:pPr>
      <w:r>
        <w:t>Title</w:t>
      </w:r>
    </w:p>
    <w:p>
      <w:r>
        <w:t>Staggered difference-in-differences evaluation of compliance-as-code adoption to align security compliance with DevOps practices</w:t>
      </w:r>
    </w:p>
    <w:p>
      <w:r>
        <w:t xml:space="preserve"> </w:t>
      </w:r>
    </w:p>
    <w:p>
      <w:pPr>
        <w:pStyle w:val="Heading2"/>
      </w:pPr>
      <w:r>
        <w:t>Short Hypothesis</w:t>
      </w:r>
    </w:p>
    <w:p>
      <w:r>
        <w:t>Integrating compliance-as-code checks into CI/CD pipelines causes a reduction in team-level policy violation rates and median time-to-remediate within 24 weeks compared to teams using manual compliance controls.</w:t>
      </w:r>
    </w:p>
    <w:p>
      <w:r>
        <w:t xml:space="preserve"> </w:t>
      </w:r>
    </w:p>
    <w:p>
      <w:pPr>
        <w:pStyle w:val="Heading2"/>
      </w:pPr>
      <w:r>
        <w:t>Related Work</w:t>
      </w:r>
    </w:p>
    <w:p>
      <w:r>
        <w:t>Prior work has produced tools and practices for embedding security checks into DevOps (policy-as-code, IaC scanners, secrets detection, SBOMs and provenance) and developed telemetry for pipeline observability. Research on causal effects of process changes often uses cross-sectional or short-term before/after comparisons; there is limited longitudinal, quasi-experimental evidence on how automated compliance controls affect both security outcomes and developer productivity. Existing detector-validation work focuses on static benchmarks and lacks adversarial testing and standardized annotation protocols. Reproducibility efforts in security provenance exist but rarely connect policy artifacts, enforcement rules, and audit evidence in an integrated, versioned evidence-store. Limitations in prior approaches include weak causal identification, underspecified telemetry schemas, inconsistent incident-counting rules, and insufficient attention to detector drift, privacy constraints, and cultural adoption dynamics.</w:t>
      </w:r>
    </w:p>
    <w:p>
      <w:r>
        <w:t xml:space="preserve"> </w:t>
      </w:r>
    </w:p>
    <w:p>
      <w:pPr>
        <w:pStyle w:val="Heading2"/>
      </w:pPr>
      <w:r>
        <w:t>Abstract</w:t>
      </w:r>
    </w:p>
    <w:p>
      <w:r>
        <w:t>This study evaluates whether embedding compliance-as-code into continuous integration and deployment (CI/CD) pipelines measurably improves security compliance outcomes and how it affects DevOps productivity over time. We run a mixed-methods longitudinal study across matched teams with staggered rollouts of policy-as-code gates. The primary causal estimand is the average treatment effect on the treated (ATT) over 24 weeks, estimated with the Callaway &amp; Sant’Anna staggered difference-in-differences estimator (a method that compares treated teams to suitable controls while accounting for staggered adoption). We collect standardized telemetry (policy evaluations, resource fingerprints, remediation timestamps), an annotated violation corpus with adversarial test cases, and quarterly interviews. Contributions: (1) a prespecified telemetry schema and incident-lifecycle rules; (2) a reproducible simulation and power appendix; and (3) empirical estimates of compliance-as-code impact on violation rates, remediation latency, and developer velocity. Expected outcome: quantifiable causal estimates and practical guidance for traceable, reproducible evidence practices in secure DevOps.</w:t>
      </w:r>
    </w:p>
    <w:p>
      <w:r>
        <w:t xml:space="preserve"> </w:t>
      </w:r>
    </w:p>
    <w:p>
      <w:pPr>
        <w:pStyle w:val="Heading2"/>
      </w:pPr>
      <w:r>
        <w:t>Experiments</w:t>
      </w:r>
    </w:p>
    <w:p>
      <w:r>
        <w:t>Datasets: (1) CI/CD telemetry from participating teams (Terraform plans, pipeline logs, OPA/Conftest/semgrep evaluations, secret-scan outputs, attestation artifacts and SBOMs), collected at daily resolution for 12–24 months; (2) annotated violation corpus combining seeded synthetic violations and human-labeled detector outputs (minimum N=2000 labeled instances); (3) interview transcripts and monthly pulse survey responses. Baselines: (A) matched control teams maintaining manual compliance processes; (B) pre-intervention within-team baseline window (4 weeks default, sensitivity to 2/6/8 weeks); (C) naive two-way fixed-effects DiD. Primary estimand and estimator: ATT over 24 weeks using Callaway &amp; Sant’Anna two-step staggered DiD with cluster-robust standard errors. Small-cluster correction: wild cluster bootstrap with Rademacher weights and 2000 bootstrap replications. Primary outcome measures: per-team-period incidence (new canonical incidents per team-period, incidence normalized by team-size-adjusted denominator) and median time-to-remediate (hours). Secondary measures: per-evaluation violation rate, per-resource prevalence, deployment frequency, lead time for changes, audit-prep time, and developer-reported friction. Detector evaluation metrics: precision, recall, F1, ROC/PR curves, calibration (Brier score), FP &lt;5% and FN &lt;10% targets. Statistical models: primary GLMM using negative binomial family for counts (switch to Poisson if dispersion test p&gt;0.05), mixed-effects linear model for log(remediation_time+1), Cox proportional hazards for time-to-remediate with censoring indicators. Sensitivity and ablations: (1) vary dedupe windows [1,5,15,30,60 min] and persistence windows [1h,6h,24h,72h]; (2) ablate detector adversarial augmentation from the training data; (3) ablate evidence-store provenance checks; (4) compare Callaway &amp; Sant’Anna to Sun &amp; Abraham and two-way FE DiD. Validation and reproducibility: release simulation seeds, containerized analysis environment, pre-analysis plan, and synthetic datasets. Power analysis: GLMM-based simulations over ICC ∈ [0.01,0.20], baseline p0 ∈ [0.01,0.5], and cohort sizes (20,30,50 teams per arm) to report detectable effects.</w:t>
      </w:r>
    </w:p>
    <w:p>
      <w:r>
        <w:t xml:space="preserve"> </w:t>
      </w:r>
    </w:p>
    <w:p>
      <w:pPr>
        <w:pStyle w:val="Heading2"/>
      </w:pPr>
      <w:r>
        <w:t>Risk Factors And Limitations</w:t>
      </w:r>
    </w:p>
    <w:p>
      <w:r>
        <w:t>Measurement error and detector drift: false positives or negatives and changing detector performance over time may bias effect estimates. Adversarial evasion: attackers or developers may obfuscate IaC or secrets causing undetected violations. Selection and confounding: nonrandom team adoption and time-varying confounders can threaten causal identification despite matching and IPW. Small cluster counts: few teams per arm reduce inference precision; small-cluster corrections may not fully recover coverage. Privacy and data sharing limits: de-identification and DUAs may restrict analysis granularity. Behavioral response (Hawthorne effect): teams may change behavior because they are observed, not due to intervention. Evidence-store key rotation: quarterly key changes can complicate historical evidence verification. Generalization: results may not transfer to organizations with different scale, culture, or toolchains. MNAR missingness: telemetry gaps correlated with outcomes can bias survival and remediation estimates. Computational cost: annotated corpus creation and adversarial tests require human effort and compute resources.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