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moma_ac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Preference-conditioned actor-critic for continuous multi-objective multi-agent reinforcement learning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each agent's policy on a preference vector w and training centralized multi-objective critics with scalarization yields higher Pareto hypervolume under a fixed sample budget than unconditioned or single-scalarizer multi-agent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lines of work include multi-objective reinforcement learning (MORL) that converts multiple rewards into a single scalar via scalarization (commonly linear scalarization) and scalarization-based extensions that use nonlinear transforms like Chebyshev to reach nonconvex Pareto points. Another strand is preference-conditioned or universal policies that condition control on goals or weights to produce a single policy covering many tasks. Multi-agent RL (MARL) methods use centralized training with decentralized execution (CTDE) and value decomposition (e.g., monotonic mixers) to handle agent coupling. Continuous-action actor-critic algorithms (e.g., deterministic policy gradients and their multi-agent extensions) provide scalable updates for continuous control. Limitations in prior work: linear scalarization cannot represent nonconvex Pareto sets, single-scalarizer approaches bias learning toward certain front regions, preference-conditioning has been studied mainly in single-agent settings, multi-objective MARL for continuous control lacks standardized architectures and benchmarks, and prior methods do not systematically address noisy preferences or provide reproducible CTDE pipelines with per-objective value decomposition.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continuous multi-objective control in multi-agent systems and propose a framework that conditions per-agent actor policies on preference vectors while training centralized multi-dimensional critics. The design separates per-objective critic outputs and applies scalarization to guide policy updates, enabling a single preference-conditioned policy to represent many trade-offs. Two scalarization modes are considered: linear (for convex coverage) and Chebyshev with smooth surrogates (to reach nonconvex frontier points). The main contribution is an end-to-end actor-critic architecture for continuous multi-agent domains that combines preference-conditioning, CTDE multi-objective critics, and scalarizer-aware gradients, together with an experimental protocol for evaluating Pareto coverage and robustness to noisy preferences. We expect the approach to improve Pareto hypervolume and per-preference regret compared to unconditioned baselines, to provide continuous interpolation across trade-offs with a single policy per agent, and to offer a reproducible benchmarking stack for future multi-objective MARL research.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Datasets/environments: Multi-objective Particle World (customized to emit M objectives), modified multi-agent MuJoCo tasks with objectives {energy, task completion, safety}, and predator-prey multi-objective variants. Baselines: (1) independent per-objective actor-critic agents (independent MO-AC), (2) multi-objective extension of MADDPG with single scalarizer, (3) centralized single-scalarizer MO-AC, (4) per-objective QMIX-style mixers. Metrics: hypervolume (volume in objective space dominated by learned points; use a fixed reference point and normalize objectives), Pareto coverage (fraction of sampled w achieving near-Pareto performance), per-preference regret (difference to best known return for that w), sample efficiency (hypervolume vs environment steps), stability (variance across seeds), and compute metrics (FLOPs, peak memory, wall-clock time). Setup: CTDE with per-agent policy π_θ(a|o,w), centralized critic Q_ϕ(s_joint,a_joint) outputting M Q-values, replay buffer size 1e6, batch size 256, γ=0.99, actor lr ∈ {1e-4,1e-3}, critic lr ∈ {1e-3,1e-2}, target τ=0.005. Scalarizers: linear, Chebyshev, and LSE-smoothed Chebyshev (temperatures τ∈{1e-1,1e-2,1e-3}). Preference sampling schedules: uniform, extreme-oversample (30% extremes), curriculum (Beta decay). Ablations: (A) scalarizer type, (B) preference-conditioned single policy vs separate per-w policies, (C) centralized vs decentralized critics, (D) deterministic vs stochastic actor, (E) w-sampling schedule. Statistical protocol: primary runs N=20 seeds, quick ablations N=5; report bootstrapped 95% CIs; use Wilcoxon signed-rank tests with Holm correction.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Critic approximation error: multi-headed critics may not approximate true Bellman values, causing biased policy updates. Function-approximation assumptions: neural nets do not guarantee Lipschitz gradients; violation can invalidate theoretical convergence claims. Off-policy instability: importance sampling or retrace clipping may still yield high-variance gradients under poor coverage. Scalability: number of objectives or agents increases critic and mixer size and compute cost nonlinearly, limiting tractable experiments. Preference noise and human mismatch: real or simulated preference errors can reduce Pareto coverage and bias learning. Nonconvex frontier coverage: scalarizers may still miss some Pareto regions despite Chebyshev smoothing. Reproducibility limits: some CUDA ops are nondeterministic, causing run-to-run variance beyond seeds; exact deterministic replay is not always possible. Evaluation sensitivity: hypervolume depends on reference point and normalization, making cross-environment comparisons delicate.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