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w:t>
      </w:r>
    </w:p>
    <w:p>
      <w:r>
        <w:t xml:space="preserve"> </w:t>
      </w:r>
    </w:p>
    <w:p>
      <w:pPr>
        <w:pStyle w:val="Heading2"/>
      </w:pPr>
      <w:r>
        <w:t>Title</w:t>
      </w:r>
    </w:p>
    <w:p>
      <w:r>
        <w:t>A scalable robust local Gaussian process mixture-of-experts for multidimensional response surfaces with discontinuities</w:t>
      </w:r>
    </w:p>
    <w:p>
      <w:r>
        <w:t xml:space="preserve"> </w:t>
      </w:r>
    </w:p>
    <w:p>
      <w:pPr>
        <w:pStyle w:val="Heading2"/>
      </w:pPr>
      <w:r>
        <w:t>Short Hypothesis</w:t>
      </w:r>
    </w:p>
    <w:p>
      <w:r>
        <w:t>A partitioned local Gaussian process with a shared discrete partition and short-lengthscale gating will yield lower boundary localization error and lower predictive negative log-likelihood than treed GP and global sparse GP baselines on multi-output regression problems with discontinuities when the minimum jump size and minimum region width exceed specified thresholds.</w:t>
      </w:r>
    </w:p>
    <w:p>
      <w:r>
        <w:t xml:space="preserve"> </w:t>
      </w:r>
    </w:p>
    <w:p>
      <w:pPr>
        <w:pStyle w:val="Heading2"/>
      </w:pPr>
      <w:r>
        <w:t>Related Work</w:t>
      </w:r>
    </w:p>
    <w:p>
      <w:r>
        <w:t>Existing approaches to modeling discontinuous response surfaces include treed Gaussian processes (which partition input space and fit independent GPs in each leaf), mixture-of-experts with soft gating (which blend experts using a continuous gating function), and global multi-output GPs with low-rank coregionalization (which model output correlations). Sparse inducing-point methods scale GPs to large N but typically assume smoothness and therefore blur discontinuities. Discrete partition priors (e.g., product partition models or tree priors) and SMC/Gibbs samplers provide exact partition inference but scale poorly in high dimensions. Relaxed discrete inference (Gumbel-Softmax, RELAX) enables scalable optimization but introduces approximation bias and variance. Multi-output coregionalization (linear model of coregionalization, low-rank factors) captures correlations but can be costly when outputs are many. Limitations in prior work: (1) poor handling of sharp, output-specific jumps under shared partition assumptions; (2) overpartitioning or weak identifiability when gating priors are not tuned; (3) scalability trade-offs between exact discrete inference and relaxed variational approximations; (4) limited evaluation metrics for boundary localization and multi-output joint uncertainty.</w:t>
      </w:r>
    </w:p>
    <w:p>
      <w:r>
        <w:t xml:space="preserve"> </w:t>
      </w:r>
    </w:p>
    <w:p>
      <w:pPr>
        <w:pStyle w:val="Heading2"/>
      </w:pPr>
      <w:r>
        <w:t>Abstract</w:t>
      </w:r>
    </w:p>
    <w:p>
      <w:r>
        <w:t>We address multidimensional regression problems where the target surface has sharp, possibly output-specific discontinuities. We propose a scalable partitioned mixture-of-experts built from local multi-output Gaussian process (GP) experts that share a common latent partition of input space. The partition is modeled by a gating GP whose priors encourage short lengthscales so boundaries can be sharp; expert models use low-rank coregionalization to scale to many outputs. For inference we combine sparse inducing-point variational GPs, differentiable relaxed discrete assignments (Gumbel-Softmax with RELAX control variates), and an optional discrete-refinement stage using SMC or blocked Gibbs. Main contributions are (1) a unified, modular architecture that allows outputs to jump or remain continuous across shared boundaries, (2) a practical inference recipe that trades bias, variance, and compute for scalable learning, and (3) a focused evaluation suite and metrics for boundary localization and joint predictive calibration. We expect improved boundary detection, better calibrated predictive uncertainty near jumps, and competitive computational scaling relative to existing partitioned or global GP baselines.</w:t>
      </w:r>
    </w:p>
    <w:p>
      <w:r>
        <w:t xml:space="preserve"> </w:t>
      </w:r>
    </w:p>
    <w:p>
      <w:pPr>
        <w:pStyle w:val="Heading2"/>
      </w:pPr>
      <w:r>
        <w:t>Experiments</w:t>
      </w:r>
    </w:p>
    <w:p>
      <w:r>
        <w:t>Datasets: Synthetic generators with known ground-truth partitions and jumps: (A) 2D checkerboard (axis-aligned abrupt jumps); (B) 2D curved boundary (sinusoidal and circular boundaries); (C) intersecting boundaries producing multiple regions; for each generator vary N in {1k, 5k, 20k}, D_in in {1,2,5}, D_out in {1,5,10}, noise σ ∈ {0.01,0.1,0.5}, and per-output jump amplitudes with some outputs continuous. Real datasets: sensor-drift gas data (time-varying regime shifts), a materials science dataset with phase-transition measurements, and a geospatial environmental dataset with regime changes (select portions where discontinuities are documented). Baselines: treed GP (discrete tree partitioning), mixture-of-experts GP with soft gating, single global sparse multi-output GP (low-rank coregionalization), and a deep GP baseline. Metrics: RMSE per output, negative log predictive density (NLL), Hausdorff distance for boundary localization (Hausdorff distance measures the largest pointwise error between two sets of boundary points), AUC and precision-recall for boundary detection (treating boundary vs non-boundary classification), calibration coverage stratified by distance-to-boundary (95% interval coverage), wall-clock training time, and peak GPU memory. Experimental setup: repeat each experiment with 10 random seeds; perform hyperparameter tuning using a fixed-budget Bayesian optimization of 50 trials per method; use minibatch VI with inducing-point counts M ∈ {50,100,200} and LMC rank R ∈ {2,5,10}; annealing schedule defaults τ0=1.0, τ_min=1e-3, τ_decay=0.1·T (T = total anneal steps); RELAX control variate starting S0=4 with adaptive S doubling when online gradient variance &gt; 2× running median; total training early-stop by validation ELBO with patience 20 epochs. Ablations: (1) gating type: soft Gumbel-Softmax vs exact discrete SMC/Gibbs refinement; (2) partition sharing: shared partition vs per-output partitions; (3) coregionalization rank: full vs low-rank; (4) inducing-point budget: small vs large M. Report per-experiment: mean and std of metrics across seeds; paired Wilcoxon signed-rank tests vs primary baselines; diagnostic traces: gating entropy, ELBO, RELAX gradient variance, ESS for SMC.</w:t>
      </w:r>
    </w:p>
    <w:p>
      <w:r>
        <w:t xml:space="preserve"> </w:t>
      </w:r>
    </w:p>
    <w:p>
      <w:pPr>
        <w:pStyle w:val="Heading2"/>
      </w:pPr>
      <w:r>
        <w:t>Risk Factors And Limitations</w:t>
      </w:r>
    </w:p>
    <w:p>
      <w:r>
        <w:t>Identifiability and symmetry: expert labels can permute or collapse, making interpretation and training unstable. Overpartitioning: weak priors or small gating lengthscales may create too many regions with few points each. Approximation bias and variance: relaxed discrete inference (Gumbel-Softmax, RELAX) can bias assignments or suffer high gradient variance; discrete SMC/Gibbs refinement is costly and may mix poorly across modes. High-dimensional boundaries: when true boundaries are lower-dimensional manifolds in high input dimension, localization rates degrade and neighborhood graphs (kNN) become unreliable. Embedding risk: learning embeddings for contiguity can overfit and either hide or invent boundaries. Computational limits: per-expert inducing sets and multiple experts increase memory and compute; iterative solvers (CG) performance depends on preconditioner quality and may require many iterations. Evaluation bias: real datasets may lack precise ground-truth boundaries, producing proxy labels and domain-dependent evaluation noise. Sensitivity to priors: results depend on gating lengthscale priors, jump-magnitude priors, and partition-complexity penalties, which can change behavior across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