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sim2real_ssda_concrete_damage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self-supervised domain adaptation framework for multimodal concrete damage classification bridging physics-based simulation and experiment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a self-supervised domain adaptation model on physics-based simulated multimodal sensor outputs together with unlabeled experimental data causes higher held-out real-data damage classification F1 and localization mean IoU than training on simulated data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four groups: 1) supervised learning on labeled experimental images and sensor data, which achieves high accuracy but requires large labeled real datasets; 2) synthetic-data training using rendered or physics simulations, which provides labels cheaply but suffers from a domain gap caused by sensor noise, material heterogeneity, and subsurface scattering; 3) style-transfer and image-level domain adaptation that align low-level appearance between sim and real but often do not correct physics-driven signal differences (for example ultrasound scattering or thermal emissivity); 4) feature-level adversarial domain adaptation and contrastive self-supervised pretraining that seek domain-invariant embeddings but can collapse class boundaries or be sensitive to hyperparameters. Weaknesses common across prior work are: reliance on substantial labeled real data, insufficient multimodal sensor forward models that capture true experimental artifacts, limited uncertainty quantification for pseudo-labeling, evaluation at per-image rather than per-specimen level (ignoring clustering), and lack of reproducible pre-registered decision rules for pseudo-label acceptance and domain-gap triggers.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Concrete damage classification from non-destructive sensing suffers from a large gap between physics-based simulations and noisy experimental measurements. We propose a self-supervised domain adaptation (SSDA) framework that combines multimodal physics-informed synthetic data with unlabeled experimental data to improve classification, localization, and severity estimation on real specimens. The approach uses contrastive self-supervised pretraining on simulated multimodal outputs (optical, DIC, ultrasound, IR) rendered with sensor forward models, followed by supervised fine-tuning on simulation labels and progressive domain adaptation on unlabeled real data via adversarial domain confusion and modality-aware style alignment. Uncertainty-aware pseudo-labeling (ensemble-based) with provenance logging governs label adoption. Main contributions are: (1) an SSDA pipeline that fuses multimodal physics-simulated and experimental data, (2) pre-registered statistical and pseudo-label decision rules, and (3) experiments that quantify sim-to-real gains under realistic class imbalance and clustered specimen-image designs. Expected outcome: measurable, reproducible improvements on held-out experimental specimens in classification F1, localization IoU, and calibrated uncertainty compared with simulation-only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Simulated dataset: 200k multimodal samples rendered from physics-based micro/macro models covering w/c ratio 0.35–0.6, aggregate size distributions, notch geometries, and sensor forward models for optical, DIC, ultrasound, IR, and micro-CT; per-sample metadata stored. 2) Experimental pilot: 10 specimens, full multimodal capture for protocol validation. 3) Experimental main: at least 50–100 labeled specimens per dominant damage class (per final power analysis), with multiple images/modes per specimen and a held-out labeled real set reserved for evaluation (size pre-registered). Baselines: A) sim-only supervised training (no adaptation); B) style-transfer on images then supervised training; C) adversarial domain confusion only; D) contrastive pretraining ablated; E) full SSDA (contrastive pretrain + adversarial + style alignment + pseudo-labeling). Evaluation metrics: classification: precision, recall, F1 (per-class and macro), calibration: ECE and Brier score (explain: ECE measures difference between confidence and accuracy), localization: mean IoU and boundary F1, severity: MAE and RMSE, domain-gap: MMD (explain: measures difference between feature distributions) and symmetric JS divergence, uncertainty: ensemble disagreement, and statistical CIs via stratified bootstrap over specimens (10k resamples). Experimental setup: training schedule staged — (1) contrastive self-supervised pretraining on sim, (2) supervised fine-tune on sim labels, (3) progressive inclusion of unlabeled real with domain-adversarial loss and style-alignment, (4) pseudo-labeling with deep ensembles (M=5) and acceptance thresholds ensemble_agreement&gt;0.8 and class-wise ECE&lt;0.05. Ablation studies: remove one adaptation component at a time (style-transfer, adversarial, contrastive) and compare to full SSDA; compare single-modality vs multimodal fusion strategies (early concat, late ensemble, attention fusion). Statistical tests and power: compute paired bootstrap confidence intervals and paired Wilcoxon signed-rank tests with Holm correction for multiple comparisons. Additional experiments: simulation-driven power curves that vary label noise, class priors, and domain-gap to estimate detection power using paired/bootstrapped tests; per-image vs per-specimen sensitivity analysis using design-effect inflation factor = 1 + (m-1)*ICC (explain: ICC measures similarity of images from same specimen) with ICC estimated by REML and Bayesian variance-component priors; controlled pseudo-label injection: inject known label noise levels into pseudo-labels to measure downstream metric degradation and to pre-register rollback thresholds. Compute budget: report GPU-hours and fixed per-cell hyperparameter search budget; fix compute per ablation cell to ensure fair comparison.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Simulation fidelity: physics-based forward models may not capture all experimental artifacts (e.g., complex ultrasound scattering, unmodeled corrosion patterns), causing residual domain gaps. 2) Pseudo-label error propagation: incorrect pseudo-labels can reinforce mistakes, especially for rare damage classes. 3) Small pilot ICC uncertainty: ICC estimates from small pilots are noisy, causing misestimation of required specimen counts. 4) Class imbalance and rare modes: some damage types may remain under-represented, reducing statistical power and causing biased metrics. 5) Computational cost: high-fidelity simulation and large-scale SSDA training require significant CPU/GPU resources and may limit exhaustive hyperparameter searches. 6) Evaluation bias: per-image metrics can overstate performance if clustering by specimen is not accounted for. 7) Threshold sensitivity: domain-gap metrics (MMD/KL) and pseudo-label thresholds depend on kernel/bandwidth and calibration choices and may produce false alarms or missed shifts. 8) Generalization limits: results validated in controlled lab conditions may not transfer to field conditions with different equipment, lighting, or loading regimes. 9) Data release constraints: specimen provenance, safety, or proprietary concerns may limit public sharing of full experimental raw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