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End-to-end vision-driven legged locomotion via MAMBA-conditioned reinforcement learning with actuator-aware controller wrappers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an end-to-end policy on a pretrained MAMBA visual encoder and per-episode actuator randomization, while using a residual low-level controller wrapper, will reduce falls per 1000 seconds and foot-placement error in real-world HIL tests compared to policies trained without visual conditioning or without actuator conditioning.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Recent work in vision-driven legged locomotion uses end-to-end deep reinforcement learning, pretrained visual encoders, domain randomization, and residual control to improve sim-to-real transfer. Approaches differ on whether they: (a) train encoders jointly with policies or freeze them; (b) use raw-torque outputs vs. higher-level body or footsetpoint actions; and (c) include per-episode actuator randomization or online identification. Limitations across existing methods include: lack of standardized reproducible pipelines, under-specified deterministic replay and RNG management, inconsistent encoder temporal objectives (contrastive positive window sizes), unclear statistical treatment of fall-rate variance, and sparse HIL safety protocols. Many studies report metric-level transfer but provide few artifacts for exact replay across hardware, and few compare hybrid action spaces with explicit safety wrappers. These unresolved gaps make cross-team comparison and robust HIL deployment difficult.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 pipeline that integrates a pretrained temporal visual encoder (MAMBA), per-episode actuator randomization, and high-frequency low-level controller wrappers to train end-to-end vision-driven legged locomotion policies. The system conditions the policy on compact visual embeddings and optional actuator-identification embeddings, and outputs residual commands on top of a safe baseline controller. The main contribution is a jointly specified experimental and deployment protocol: canonical encoder pretraining objectives (temporal contrastive plus predictive losses), a canonical action/observation interface, deterministic-replay artifacts, and HIL acceptance tests with statistical progression criteria. We evaluate the approach in physics simulation with randomized dynamics and on a tethered hardware-in-the-loop setup. Expected outcomes are improved sim-to-real robustness (fewer falls per 1000 seconds), better foot-placement accuracy, and operationally reproducible experiments that include per-worker RNG dumps, container hashes, and analysis notebooks. The deliverable is a tested baseline and a prioritized ablation set to identify which perception, action-space, and randomization choices most improve real-world performance.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Simulated training suite: 10M-step RL environments with randomized actuator params per episode (torque ±100% nominal, latency 1–20 ms, friction ranges) and randomized terrains (flat, slopes, discrete obstacles). (2) Encoder pretrain set: 150k image sequences (3-frame windows) mixing synthetic and real tethered-camera footage; record camera intrinsics/extrinsics and augmentation seeds. (3) HIL dataset: tethered runs with safety leash, 30s shadow-mode traces and full logs (proprio 1 kHz, visuals 50–200 Hz). Baselines: (A) hand-engineered impedance controller; (B) RL policy using proprioception only; (C) RL policy with frozen encoder but no actuator conditioning; (D) RL policy with no residual wrapper (direct torque). Evaluation metrics: falls per 1000 s (primary), foot-placement RMSE (m), normalized energy J/(m·kg), policy inference latency (ms), sim-vs-real sensor bias (normalized), and ECE for confidence head. Statistical models: negative-binomial or survival analysis for falls, mixed-effects linear models (fixed effects: method; random intercepts: seed and hardware) for continuous metrics, bootstrap 95% CIs. Pre-registration: primary endpoints = falls per 1000 s and foot RMSE; use Benjamini–Hochberg for multiple comparisons across ablations. Experimental setup: canonical encoder (ResNet-18 + 2-layer temporal transformer, 64-d embedding, 3-frame window) frozen for initial RL stage; low-level wrappers run at 200–500 Hz while policy runs at 20 Hz. Seeds and per-episode randomization vectors are archived. Ablation study (prioritized subset): (1) temporal positives window ±1 vs ±2 frames; (2) embedding size 64 vs 128; (3) history length 2 vs 4 frames; (4) residual action vs direct torque; (5) wrapper type PD vs impedance vs torque. Sample sizes: initial sim validation N=10 episodes × 5 seeds per condition; expanded power runs for primary endpoints use up to 200 episodes/condition if needed per power script. Reproducibility checks: deterministic replay unit tests across containers/GPU drivers and a metric-level acceptance test (distributional CI match).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actuator randomization may produce dynamics outside hardware safety envelopes leading to unstable HIL runs; encoder collapse (low embedding variance) during fine-tuning can degrade policy behavior. Data and evaluation biases: simulated terrain distributions may not cover real-world edge cases (e.g., reflective surfaces, extreme occlusions). Statistical issues: fall counts are heavy-tailed and may be overdispersed, complicating inference and requiring larger sample sizes. Scalability and compute: full ablation matrix is compute-intensive (many tens to hundreds of GPU-days); practical budgets will limit explored conditions. Generalization limits: policies conditioned on specific camera mounts or actuator ranges may not transfer to different robots without additional identification. Reproducibility limits: bitwise nondeterminism from CUDA/cuDNN fused ops, driver variance, and OS-level scheduling can prevent exact replay; acceptance must allow metric-level equivalence rather than perfect bitwise match. Safety: HIL latency, jitter, and networked E-stop paths may exceed targets under load; worst-case timings must be measured before autonomy increases.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