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deep_koopman_tube_mpc_traffic</w:t>
      </w:r>
    </w:p>
    <w:p>
      <w:r>
        <w:t xml:space="preserve"> </w:t>
      </w:r>
    </w:p>
    <w:p>
      <w:pPr>
        <w:pStyle w:val="Heading2"/>
      </w:pPr>
      <w:r>
        <w:t>Title</w:t>
      </w:r>
    </w:p>
    <w:p>
      <w:r>
        <w:t>Scalable deep Koopman tube model predictive control for mitigating traffic oscillations in mixed-traffic platoons</w:t>
      </w:r>
    </w:p>
    <w:p>
      <w:r>
        <w:t xml:space="preserve"> </w:t>
      </w:r>
    </w:p>
    <w:p>
      <w:pPr>
        <w:pStyle w:val="Heading2"/>
      </w:pPr>
      <w:r>
        <w:t>Short Hypothesis</w:t>
      </w:r>
    </w:p>
    <w:p>
      <w:r>
        <w:t>Per-vehicle deep-Koopman predictors combined with tube-based model predictive control (MPC) and sparse neighbor coupling reduce steady-state speed variance by at least 20% relative to conventional adaptive cruise control (ACC) in mixed-traffic simulations with 20–50% autonomous vehicle (AV) penetration.</w:t>
      </w:r>
    </w:p>
    <w:p>
      <w:r>
        <w:t xml:space="preserve"> </w:t>
      </w:r>
    </w:p>
    <w:p>
      <w:pPr>
        <w:pStyle w:val="Heading2"/>
      </w:pPr>
      <w:r>
        <w:t>Related Work</w:t>
      </w:r>
    </w:p>
    <w:p>
      <w:r>
        <w:t>Existing approaches to reduce traffic oscillations include classical car-following controllers and linear MPC built on linearized traffic models, full end-to-end reinforcement learning controllers, and Koopman-inspired linear embedding methods for nonlinear systems. Classical MPC and linear controllers are interpretable and convex but suffer from poor performance when models are inaccurate and do not scale naturally to heterogeneous long platoons. End-to-end RL can adapt to complex behavior but lacks formal safety guarantees and typically requires large data and compute. Prior Koopman and linear-embedding works provide useful linear predictors but often assume globally valid lifts, ignore finite-sample estimation error, and do not provide online certification under temporal correlation or heavy-tailed residuals. Robust control techniques (tube-MPC, Lyapunov terminals) provide safety under bounded disturbances but require valid disturbance bounds; few prior works derive data-driven finite-sample bounds or compositional (small-gain) conditions for heterogeneous, spatially coupled vehicle networks. Scalability, time-series dependence in residuals, and practical online re-certification remain open gaps.</w:t>
      </w:r>
    </w:p>
    <w:p>
      <w:r>
        <w:t xml:space="preserve"> </w:t>
      </w:r>
    </w:p>
    <w:p>
      <w:pPr>
        <w:pStyle w:val="Heading2"/>
      </w:pPr>
      <w:r>
        <w:t>Abstract</w:t>
      </w:r>
    </w:p>
    <w:p>
      <w:r>
        <w:t>Traffic oscillations (stop-and-go waves) degrade safety, comfort, and efficiency in mixed traffic with human drivers and autonomous vehicles (AVs). We propose a scalable control architecture where each AV learns a local lifted linear predictor using a deep neural observable (a mapping from vehicle neighborhood states to a higher-dimensional representation) so that the lifted state evolves approximately linearly. Each AV runs a tube-based model predictive controller (MPC) built on its local linear predictor; tube-MPC uses tightened constraints to guarantee safety despite prediction errors. Main contributions are: (1) a decentralized deep-Koopman per-vehicle learning and control pipeline with sparse neighbor coupling for scalability (sparse coupling means each AV only uses nearby vehicles), (2) finite-sample, robust disturbance bounds estimated online from prediction residuals (so the controller can certify safety with high probability), and (3) practical compositional stability conditions (small-gain style) that certify platoon-level stability from local gains. Expected outcome: measurable attenuation of speed oscillations in heterogeneous mixed-traffic scenarios with provable, data-driven safety margins suitable for real-time deployment.</w:t>
      </w:r>
    </w:p>
    <w:p>
      <w:r>
        <w:t xml:space="preserve"> </w:t>
      </w:r>
    </w:p>
    <w:p>
      <w:pPr>
        <w:pStyle w:val="Heading2"/>
      </w:pPr>
      <w:r>
        <w:t>Experiments</w:t>
      </w:r>
    </w:p>
    <w:p>
      <w:r>
        <w:t>Datasets: (1) Synthetic microscopic traffic simulations using SUMO+Flow with mixed-autonomy platoons (vehicle models include point-mass dynamics, actuator limits); (2) Heterogeneous human-driver behavior models spanning cautious/aggressive IDM-like and stochastic variants; (3) Optional real trajectory segments (e.g., NGSIM) for domain realism. Baselines: human-only traffic, conventional ACC, linear MPC using linearized car-following models, and end-to-end RL controller. Evaluation metrics: speed variance (primary), spacing deviation (RMSE), acceleration variance, spectral energy of speed oscillations (frequency content), time-to-collision (TTC) statistics, constraint violation rate (safety), average control computation time, and MPC QP solve-time percentiles (median, 99th). Experimental setup: run platoon sizes {20,50,100}, AV penetration rates {0,10,20,50,100}%, communication radii representing k-nearest neighbors k∈{1,2,4}, MPC horizon N=10 steps, control frequency 10 Hz, solver OSQP with warm-start measured on target embedded CPU. Trials: 30 random seeds per condition for statistical power. Ablations: (A) neighborhood size k, (B) spectral regularization strength on A, (C) Delta estimator variant (i.i.d concentration vs median-of-means block approach), (D) with/without graph-structured observable (GNN) coupling. Statistical protocol: compute 95% confidence intervals for primary metrics, run paired hypothesis tests comparing DKPC to each baseline (α=0.05), and report minimum detectable effect for chosen sample counts. Additional tests: sensitivity to delays (packet loss/staleness up to 500 ms) and heavy-tailed residual injections to validate Delta CI coverage.</w:t>
      </w:r>
    </w:p>
    <w:p>
      <w:r>
        <w:t xml:space="preserve"> </w:t>
      </w:r>
    </w:p>
    <w:p>
      <w:pPr>
        <w:pStyle w:val="Heading2"/>
      </w:pPr>
      <w:r>
        <w:t>Risk Factors And Limitations</w:t>
      </w:r>
    </w:p>
    <w:p>
      <w:r>
        <w:t>1) Temporal and spatial correlation in residuals: concentration bounds that assume i.i.d. residuals will be invalid if residuals are strongly time-dependent; heavy tails or bursts can break probabilistic guarantees. 2) Structured model error: identification errors (ΔA,ΔB,ΔC) may concentrate in specific modes, and operator-norm bounds can be conservative; bootstrap CIs may under- or over-estimate worst-case effects. 3) Numerical sensitivity: stability constants (γ,c) and small-gain margins depend on chosen matrix norms and truncation horizons; numerical estimation error can lead to incorrect certification. 4) Scalability and compute: MPC QP solve time and γ_ij computation scale with neighborhood size and platoon topology; worst-case solver latency may violate real-time budgets on embedded hardware. 5) Communication faults and partial observability: delays, packet loss, or missing neighbor data enlarge effective disturbances and may invalidate small-gain conditions. 6) Online nonstationarity: traffic conditions and driver behaviors can drift, requiring re-identification and re-certification; transient updates may temporarily void guarantees. 7) Generalization limits: models trained on simulated regimes may not transfer to unseen road geometries, lane changes, or rare edge events. 8) Evaluation bias: synthetic driver models and simulator settings may not capture real-world variance, producing optimistic performance estimates.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