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hypergraph_ssm_node_classification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networks integrated with state-space models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mid-layer per-node state-space model that processes each node's sequence of layer-wise embeddings in a hypergraph neural network causes a measurable increase in node classification accuracy and calibration versus the same hypergraph architecture without the state-space model, while controlling for model size and training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hypergraph node classification uses two main families: message-passing hypergraph nets that alternate node-to-hyperedge and hyperedge-to-node updates (examples: attention or mean pooling over incident nodes) and spectral hypergraph methods that convolve with operators derived from the hypergraph Laplacian (L_H). Separately, state-space models (SSMs) have been used in sequence modeling to capture long-range dependencies with stable linear memory. Limitations in prior hypergraph methods include: (1) limited long-range propagation without stacking many layers, which increases oversmoothing (nodes become indistinguishable); (2) ad-hoc normalization and aggregation choices that destabilize training on heterogeneous degrees; (3) lack of hyperedge-aware positional encodings to capture structural context; (4) scalability bottlenecks when hyperedges are large or numerous; and (5) absence of principled integration of long-range memory modules (like SSMs) tuned for hypergraph message flows.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hypergraphs, where edges can join more than two nodes and higher-order interactions matter. Standard hypergraph neural networks either use local message passing or spectral filters; both struggle to propagate information far across the structure without deep stacks that cause oversmoothing (nodes lose individual signals). We propose a family of models that couples hypergraph-aware spatial operators with state-space models (SSMs) that act on per-node sequences of layer-wise embeddings. Spatial operators include attention-based node↔hyperedge message passing and spectral polynomial filters built from a normalized hypergraph Laplacian; positional encodings derived from Laplacian eigenvectors or random-walk heat kernels provide structural signals. The SSM component provides compact, stable long-range memory (SSM = a learned linear dynamical system that processes sequences). Main contributions are: (a) architecture designs combining hypergraph operators with mid-layer SSM blocks, (b) theoretical operator-norm and receptive-field statements that guide stability, and (c) a reproducible experimental plan including ablations on aggregation, normalization, positional encodings, and SSM placement. Expected outcome: improved accuracy, better calibration, and more robust long-range propagation on hypergraph node-classification tasks.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CORA-augmented hypergraph, DBLP co-authorship hypergraph, Yelp hypergraph, and one temporal hypergraph (Enron or temporal co-authorship) where available. Preprocessing: build incidence matrix H (sparse; H_{v,e}=1 if node v in hyperedge e). Baselines: HAN-style hypergraph attention, HyperGCN, HGNN, GCN and GAT on clique-expansion graphs, and each baseline augmented with a GRU-like per-node memory for parity. Metrics: node classification accuracy, macro-F1, AUROC, Expected Calibration Error (ECE) with 15 equal-mass bins, Brier score, normalized Dirichlet energy E = x^T L_H x / ||x||^2 (oversmoothing diagnostic), runtime (sec/epoch) and peak GPU memory. Experimental setup: unified train/val/test splits, 10 random seeds, report mean ± 95% CI. Statistical tests: paired t-tests with Holm correction for multiple comparisons. Hyperparameters and ablations: aggregation {attention, mean}, normalization {symmetric D_v^{-1/2} H W_e D_e^{-1} H^T D_v^{-1/2}, row-normalized}, positional encodings {top-k Laplacian eigenvectors, truncated personalized PageRank (PPR), heat-kernel embeddings}, SSM placement {pre, mid, post}, SSM memory M ∈ {4,8,16,32}, SSM internal order S ∈ {8,16,32}, heads ∈ {4,8,12}, dropout ∈ {0.1,0.3,0.5}. Robustness tests: hyperedge dropout ∈ {5%,10%,20%,50%} and random-add noise up to 20% new hyperedges. Resource plan: pilot sweep on small datasets (30 GPU-hours), full ablations 200–400 GPU-hours. Ablation example: fix model size and compare mid-layer SSM (M=8,S=16) vs no-SSM vs post-SSM; measure accuracy, ECE, Dirichlet energy, and runtime.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SSM numerical instability: discretization (e.g., bilinear/Tustin) and FP16 quantization can create unstable poles or ill-conditioned state matrices, causing exploding gradients. Oversmoothing and vanishing signal: improper normalization or large hyperedge sizes can still make node features collapse despite SSM memory. Loose theoretical bounds: operator-norm constants may be pessimistic and not predict practical stability, requiring empirical calibration. Scalability and compute: per-layer node↔hyperedge attention scales with average hyperedge size s and |E|, leading to high memory and runtime for dense hyperedges; fused CUDA kernels may be required and are nontrivial to implement. Dataset construction bias: hyperedge construction heuristics (clique extraction, co-participation thresholds, capping s_max) can change spectral properties and amplify minority labels or label leakage. Reproducibility risks: dependence on specific SSM library commits, custom kernels, and random seeds can hinder reproducibility. Limited generalization: methods tuned on mid-size academic datasets may not scale or transfer to ultra-large hypergraphs or domains with extreme degree heterogeneity.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