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recurrence_plot_change_quantile_protection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based deep supervised and semi-supervised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deep model that fuses recurrence-plot (RP) features and change-quantile features trained with semi-supervised representation learning will detect permanent and intermittent faults on PV-connected transmission lines with higher detection rate and lower false-trip rate under inverter-limited, harmonic, and CT-saturation conditions than conventional overcurrent/directional relays.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Conventional protection relies on magnitude and phasor thresholds (overcurrent, directional) and can fail when inverter-fed faults are low magnitude, current-limited, or heavily distorted. Phasor-based and wavelet-based signal-processing methods improve sensitivity but degrade with high harmonic distortion and subsynchronous oscillations. Machine-learning approaches applied to raw waveforms or spectrograms show promise for fast detection but commonly assume balanced bolted faults and clean training data; they also rarely provide latency microbenchmarks for relay-class hardware. Recurrence-plot (RP) methods and recurrence-quantification analysis (RQA) have been used in other time-series domains to detect deterministic transients, but prior applications to power protection lack mapping to inverter-mode EMT/HIL datasets and certified fallback logic. Semi-supervised representation learning (contrastive/autoencoder) can leverage unlabeled operational data, yet existing protection proposals do not integrate RP+distribution-shift (change-quantile) features, nor do they present per-fault-class statistical sample-size calculations or 99.9th-percentile runtime proofs on relay CPUs.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Transmission lines connected to utility-scale photovoltaic (PV) plants produce low-magnitude, distorted, and intermittent fault currents that challenge conventional relays. We propose a protection method that fuses recurrence-plot (RP) features—images that show when a signal's state repeats—with change-quantile features that track shifts in signal distributions, and feeds them to a deep model trained in a semi-supervised regime. The main contribution is a reproducible pipeline: (1) RP and quantile feature extraction tailored to inverter dynamics; (2) contrastive pretraining on unlabeled operational data plus supervised fine-tuning on a small labeled fault set; and (3) deployment constraints and microbenchmarks for relay-class CPUs. Expected outcomes are higher dependability on low-current and high-impedance faults, lower false-trip rates under high THD and CT-saturation, and verified end-to-end latency suitable for relay coordination. This work aims to produce experimentally validated acceptance tests, per-class statistical sizing, and runtime profiles to support HIL validation and controlled field pilots.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Offline EMT/PSCAD and RTDS library: ≥20,000 events sampled at 4–16 kHz, include ≥2,000 labeled fault events stratified by class: bolted (≥800), high-impedance/arcing (≥600), inverter current-limited (0.1–0.5 pu) (≥400), CT-saturation with DC offset (≥200). Include ≥8,000 non-fault disturbances (switching transients, energization, inverter reconnects, islanding, weather noise). 2) HIL: run representative subset on RTDS with relay front-ends (SEL/ABB) and edge devices (ARM Cortex-A53/A72). 3) Field pilot: small supervised feeder (if allowed). Baselines: (A) conventional overcurrent/directional relay logic, (B) phasor/RMS threshold detectors, (C) CNN on raw waveform windows, (D) autoencoder anomaly detector, (E) RP-only and (F) quantile-only variants. Model training: semi-supervised contrastive pretraining on unlabeled data then supervised fine-tune on labeled 10% subset. Data splits: chronological train/validation/test with last 20% holdout; 5-fold temporal block cross-validation. Evaluation metrics: detection rate per class, false-trip rate (events per 1000 hours), ROC/AUC, precision/recall, detection latency percentiles (50/95/99), per-class FNR/FPR with 95% CI (Wilson or bootstrap), and end-to-end latency percentiles (50/95/99, and 99.9th) on target CPUs. Hardware microbenchmarks: incremental RP/RQA runtime measured on ARM Cortex-A53/A72 under RTOS with background CPU load; report 99.9th-percentile per-window runtime target ≤4 ms. Ablations: remove RP branch, remove change-quantile branch, supervised-only vs semi-supervised, and model compression (pruned/quantized) impact on accuracy and latency. Stress tests: THD up to 30%, GPS/time-sync offsets ±20 ms, IEC61850 GOOSE packet loss bursts up to 30%, and CT ratio errors; report metric degradation. Acceptance criteria: demonstrate higher detection rate and lower false-trip rate than baseline (quantified), latency budgets met per zone (Zone-1 ≤10 ms end-to-end, Zone-2 ≤20 ms, Remote ≤50 ms).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misclassification under unseen inverter controller modes, failure to detect very-low current arcing with intermittent waveform; RP/RQA sensitivity to embedding and threshold choices. Data biases: lab EMT scenarios may not capture geographic or controller diversity; chronological splits may still leak seasonal effects. Class imbalance and rare-event scarcity limit confidence for rare classes even with power analysis; sample counts may be insufficient for very-high-impedance faults. Compute limitations: RP incremental computation and model inference may exceed worst-case 99.9th-percentile latency on low-cost relays under RTOS jitter or heavy CPU contention. Explainability limits: saliency and attention maps may be unstable under small perturbations and may not meet operator expectations. Safety and policy constraints: default no-trip on model/comms failure is controversial and may require stronger conventional checks for near-end fast faults. Adversarial and drift threats: training-set poisoning, firmware compromise, sensor spoofing, or coordinated time-sync attacks can degrade performance; certification and standards mapping (IEC/ NERC) may increase time-to-deploy and require additional artifact production. Generalization: results may not transfer to networks with very different topology, fault impedance ranges, or DER control designs.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