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gnn_analog_link_pred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Graph neural network-based link prediction for analog circuit netlists with SPICE-verified validation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heterogeneous bipartite graph neural network (GNN) trained with SPICE-verified labels and constraint-aware losses will increase the SPICE-consistency rate on held-out analog circuits by at least 0.10 absolute compared to the best classical baseline (port-matching, netname heuristics, or RandomForest).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include rule-based heuristics (port-matching, netname similarity, degree or electrical-distance heuristics), classical machine learning on hand-crafted features (RandomForest), and emerging GNN methods for circuit analysis. Heuristics are fast but brittle: they fail on optional/conflict links and on multi-terminal device semantics. Feature-based ML improves statistical modeling but lacks structural inductive bias for long-range interactions. Existing GNN applications show promise in predicting connections but typically omit a closed-loop SPICE verification (SPICE is a circuit simulator that computes voltages/currents) and do not integrate domain hard priors (terminal compatibility, body ties) into loss functions or post-filters. Limitations in prior work: (1) weak or no SPICE-in-the-loop labeling, causing label noise; (2) insufficient synthetic data realism and domain-shift evaluation; (3) poor handling of multi-link combinatorics and ambiguity; (4) limited calibration/uncertainty analysis for safety decisions; (5) little cross-tool validation (differences between SPICE variants) leading to tool-specific artifacts.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automated link prediction in analog netlists: deciding which device terminals should be electrically connected to which nets. We propose a closed-loop method that combines a heterogeneous graph neural network (GNN) operating on a bipartite graph of device-terminal nodes and net nodes with SPICE-verified labeling (SPICE is a circuit simulator that gives electrical behavior). The main contributions are: (1) a canonical graph representation and synthetic generator for diverse analog topologies with controlled perturbations; (2) a constraint-aware hetero-GNN that uses terminal/device features and edge priors; and (3) a SPICE-based verification loop that produces accept/benign/harmful labels and a safety filter. We evaluate models by both prediction metrics (AUPR, precision@k) and circuit behavior metrics (SPICE-consistency rate, calibration). Expected outcome: the GNN plus SPICE fine-tuning improves end-to-end correctness of predicted links on held-out circuits and yields calibrated confidence scores usable in human-in-the-loop workflows.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30,000 circuits total; Train 24,000, Val 3,000, Test 3,000. Real vs synthetic split: 20% real (6,000 real netlists) and 80% synthetic (24,000 generated instances). Synthetic templates: at least 15 canonical topologies (differential pair, cascode, folded cascode, LDO, single-stage amp, bandgap, current mirror, ADC front-end, etc.). Tech nodes: three families (180nm, 65nm, 28nm). Device counts per circuit: 5–200. Baselines: 1) port-matching heuristic (match terminal roles and arity); 2) netname co-occurrence + string similarity; 3) degree / closest-net by electrical hops; 4) shortest-path electrical-distance; 5) RandomForest on hand-crafted features (device params, terminal role, net degree). Models: heterogeneous GNN (bipartite device-terminal ↔ net), homogeneous GCN, GAT variant, Graph Transformer. Training details: negative sampling k_neg=50 per positive (20 global random, 20 hard within 2 hops or same device-type, 10 supply/rail proximity); batch size 32 circuits; optimizer AdamW lr=1e-3 with cosine decay; weighted BCE + focal (gamma=2) + constraint penalty. SPICE verification: run OP (operating point), DC sweep, small-signal AC, and minimal transient using Ngspice/HSPICE; baseline metrics saved; bootstrap baseline distributions with n=10,000 resamples for 95% CI; acceptance thresholds: node voltage drift ≤5% accept, 5–20% benign, &gt;20% harmful; AC gain change ≤3 dB accept, 3–10 dB benign, &gt;10 dB harmful; GBW shift ≤10% accept; supply current increase &gt;100× or &gt;1 mA catastrophic. Metrics: AUROC, AUPR, precision@k (k=1,5,10), recall@k, SPICE-consistency rate (fraction of predicted links yielding accept), catastrophic false-positive rate (FPR_cat), calibration ECE (15 bins), and end-to-end CPU-hours. Ablations: (A) with vs without SPICE-in-the-loop fine-tuning; (B) hetero vs homo GNN; (C) positional encodings on/off; (D) with vs without hard-prior loss penalties; (E) hard-negative mining vs random negatives. Multi-link evaluation: beam width B={10,20,50}, top-K candidates per circuit {100,200}, evaluate link-set sizes s={1,2,3} with greedy fallback; measure recall/precision vs beam and measured SPICE CPU-hours for each setting. Seeds and power: run ≥12 independent random seeds per primary condition for statistical power; report paired tests (t-test or Wilcoxon) with Bonferroni correction and Cohen’s d with 95% CI. Cross-tool validation: for a representative subset (≈300 circuits) compare Ngspice vs HSPICE vs one commercial SPICE; compute numeric-diff metrics (per-node voltage RMSE, metric delta bias) and report acceptance discrepancies.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SPICE numerical failures and non-convergence for modified netlists may produce unlabeled or mislabeled cases; SPICE variants (Ngspice/HSPICE/commercial) can give different numeric results, creating tool-specific labels. Synthetic-real domain gap: synthetic generator priors or device models may not match real IP nets, causing poor generalization. Combinatorial explosion for multi-link proposals (sets of links) can make exhaustive verification infeasible; greedy approximations may miss valid sets. Compute and cost: SPICE verification is CPU-intensive (thousands of core-hours); budget limits may force smaller verification sweeps. Label noise: optional/benign links and marginal metric changes create ambiguous labels. Calibration limits: ensemble and temperature scaling may not calibrate per-topology uniformly, leading to uneven decision thresholds. Legal/licensing constraints may prevent publishing some real netlists. Human-in-loop latency: human review for borderline cases can become a throughput bottleneck if many cases fall into the review band. Generalization: models trained on specific tech nodes or templates may not transfer to unseen topologies or advanced layout parasitics.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