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quantum_lstm_attention_permeability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Quantum-enhanced LSTM with variational quantum attention for spatial permeability prediction in oilfield reservoirs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Integrating a compact variational quantum circuit (VQC) attention head into a pretrained LSTM+attention backbone will reduce per-facies root-mean-square-error (RMSE) on log10 permeability by at least 10% compared to a tuned classical LSTM+attention baseline under matched tuning budgets.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Classical methods for spatial and spatiotemporal permeability prediction use recurrent networks (LSTM) with attention and physics-informed losses; they can capture temporal context but struggle with fine-scale spatial heterogeneity and calibrated uncertainty. Hybrid quantum-classical methods apply variational quantum circuits (VQCs) as small trainable blocks in classical models to gain expressivity; prior work demonstrates prototype VQCs for classification and small regression tasks but faces high shot cost, noise sensitivity, and optimization instability (barren plateaus). Existing quantum-attention ideas are nascent and lack domain-specific upscaling, capacity-matched classical controls, conservative shot/latency accounting, and rigorous statistical designs for field-scale claims. There is a gap in integrating hardware-aware, shallow VQCs with reservoir physics, producing reproducible FLOP/shot cost comparisons, and testing whether any observed gains exceed matched classical alternatives.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the task of predicting anisotropic spatial permeability fields (log10 Kx, Ky, Kz) in oilfield reservoirs by integrating a compact variational quantum circuit (VQC) as an attention head inside an LSTM+attention pipeline. A VQC is a small parameterized quantum circuit whose output is a vector of measured expectation values; these values will be mapped to attention logits. The proposed approach keeps circuits shallow and qubit counts small to match near-term quantum hardware and uses data re-uploading and local observables to increase expressivity while limiting noise sensitivity. The main contribution is a reproducible experimental framework that (1) specifies exact circuit diagrams, parameter counts, and forward/gradient cost formulas, (2) provides capacity- and FLOP-matched classical controls, and (3) pre-registers a statistical testing plan to assess predictive accuracy and uncertainty calibration. Expected outcomes are a validated procedure for fair comparison between quantum and classical attention mechanisms, quantified resource-cost trade-offs, and measured effect sizes on predictive accuracy and calibrated uncertainty for reservoir permeability estimation.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Real-field datasets with core-derived permeability upscaled to grid cells and aligned covariates (well logs, porosity, facies, seismic attributes); (2) Synthetic ensembles (object-based and multiple-point statistics) with controlled anisotropy and preserved transmissibility via flow-based renormalization. Baselines: tuned LSTM+attention (deterministic), Bayesian last-layer LSTM (MC Dropout), ensemble of LSTM+attention (N=5), physics-informed NN with Darcy regularization, and capacity-/FLOP-matched classical controls (dense layers, low-rank factorized maps, random Fourier features, Nyström attention). Metrics: primary = per-facies RMSE on log10 K averaged over holdout fields (explicit formula: sqrt(mean_{cells in facies}((pred-logK)-(truth-logK))^2)); secondary = R^2, NLL, CRPS, 90% interval coverage and width, attention-map similarity (cosine/IoU) to reference maps, training stability (gradient SNR, gradient variance, fraction of failed runs). Experimental setup: implement 8-qubit QNode prototype in PennyLane+PyTorch; VQC grid {q∈{4,8,12}, L∈{1,3,5}} with hardware-efficient ansatz: per-layer trainable single-qubit rotations and sparse entanglers (CNOT ladder or ring). Input compression: learn linear projector from LSTM hidden state to q inputs; angle-encode re-uploaded data per layer. Shots ∈{256,1024,4096}; noise regimes ∈{noiseless, device-calibrated T1/T2+CX errors, depolarizing+readout}. Training: pretrain classical backbone with fixed random seeds, then fine-tune with quantum module and progressive unfreezing. Gradient estimators: exact parameter-shift, stochastic parameter-shift, SPSA. Ablations: module placement (encoder vs attention head vs augmentation), q and L grid, shot budgets, estimator types, and capacity-matched classical alternatives. Hyperparameter parity: identical tuning budgets (#trials) and optimizer schedules for quantum and classical runs. Statistical tests: paired bootstrap (≥1000 resamples) and paired permutation tests for primary comparison; Holm correction for confirmatory tests and Benjamini-Hochberg for exploratory ablations. Reproducibility: provide code, fixed seeds, Docker image, and unit tests.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quantum circuits may be too noisy on real QPUs, producing gradients dominated by shot noise or decoherence; barren-plateau optimization can cause vanishing gradients for larger q or deeper L. Data and evaluation biases: upscaling errors and misalignment between core-scale labels and field-scale covariates can introduce label noise that limits measurable gains. Compute and scalability limits: shot costs and parameter-shift gradient evaluations can make training wall-clock time impractical for large parameter counts; matching wall-clock parity with classical baselines may not be feasible. Statistical limits: small numbers of independent fields reduce power to detect modest effect sizes and increase false positives under multiple comparisons. Generalization limits: gains observed on synthetic or small-field datasets may not transfer to different depositional systems or larger grid-block resolutions. Interpretability limits: attention maps produced via measured quantum expectation values may be hard to interpret or compare directly to classical attention without careful similarity metrics. Operational constraints: QPU queue delays, calibration drift, and variable hardware availability can invalidate timing estimates and increase experimental cost.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