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rural_emerging_adult_pwa_prevention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pilot evaluation of a progressive web app delivering tailored cancer prevention behavior change for rural emerging adults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Provision of a tailored, low-bandwidth progressive web app that delivers COM-B/IMB-mapped behavior change techniques will cause greater increases in preventive behaviors (sun protection frequency, HPV vaccine initiation, and reduction in tobacco use) at 3-month follow-up compared with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Digital and mobile interventions for cancer prevention and health behavior change have used brief videos, SMS, apps, and web portals and commonly apply behavior-change frameworks like COM-B (capability, opportunity, motivation) or IMB (information, motivation, behavioral skills). Prior work shows modest improvements in knowledge and self-reported behaviors but often lacks rigorous verification of objective outcomes (for example, registry-verified vaccination or biochemical validation of tobacco use). Many interventions target urban or college-connected populations and do not address rural broadband limits, offline access, or local cultural tailoring. Usability research for low-bandwidth settings is sparse and studies rarely combine PWA (progressive web app) technical approaches with mixed-methods formative work and pre-specified psychometric checks. Existing trials are often single-behavior, short-duration, and underpowered for subgroup analyses. Limitations include reliance on self-report, limited objective outcome capture, insufficient equity-focused sampling, and little specification of monitoring thresholds or decision rules for scale-up.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Rural emerging adults face elevated barriers to cancer-preventive actions such as consistent sun protection, HPV vaccination, and tobacco avoidance. This project pilots a mobile-first, low-bandwidth progressive web app (PWA) that delivers brief, tailored content mapped to COM-B and IMB behavior-change constructs (information, motivation, and behavioral skills). The study uses mixed methods: formative qualitative work to tailor messages and a 40-participant randomized pilot comparing tailored versus non-tailored PWA content, with a low-bandwidth sub-study for offline delivery. Primary contributions are (1) an operational PWA design for resource-limited rural contexts with offline caching, (2) rigorously pre-specified measurement and psychometric decision rules, and (3) integrated objective outcome verification (HPV registry or photo, cotinine subsample, device-measured activity where feasible). Expected outcomes are feasible recruitment and retention metrics, improved self-efficacy and preventive behaviors at 3 months, and pilot estimates (SDs, ICCs) that directly inform sample-size and go/no-go decisions for a definitive trial.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Mixed-methods pilot with randomization 1:1 to tailored-PWA versus generic-PWA; an embedded low-bandwidth sub-study will evaluate offline-cached delivery among participants with limited connectivity. Sample: N=40 total (20 per arm); inclusion: age 18–25, rural residence, English-speaking, smartphone or web-capable device. Recruitment: social ads, extension offices, clinics. Measures: self-efficacy (SEQ-12 for tobacco; sun-protection self-efficacy items), behaviors (SEPI short form for sun protection; BRFSS/GATS items for tobacco; standard HPV vaccination items plus registry/provider verification or vaccine card photo), mediators (intentions single-item, perceived norms 2 items), usability (System Usability Scale), engagement (module completion, DAU/WAU, video completion), objective subsamples (cotinine saliva assays for 20–30% who report tobacco use; accelerometer for up to 20 participants if feasible). Baselines: collect at enrollment; follow-ups at immediate post-intervention and 3 months. Baselines/Controls: baseline within-subject comparison and between-arm comparison (tailored vs generic). Ablation studies: (A) tailored content versus generic content to test tailoring effect; (B) narrative peer-stories removed versus included to test narrative contribution; (C) offline-cached delivery versus online-only among low-connectivity subgroup. Evaluation metrics: recruitment rate, retention at 1 and 3 months, SUS mean (target threshold 68), module completion proportion (target ≥50%), HPV verification proportion (target ≥50%), pre-post Cohen's d for behaviors, engagement metrics (DAU/WAU). Statistical analysis: descriptive statistics with 95% CIs (Wilson for proportions), pre-post paired t-tests and Cohen's d, between-arm comparisons via mixed-effects linear or logistic models with random intercept for partner site; report ICCs. Psychometrics: measurement invariance testing sequence configural → metric → scalar with thresholds: CFI/TLI ≥0.95 preferred (≥0.90 acceptable), RMSEA ≤0.06 preferred (≤0.08 acceptable), SRMR ≤0.08, and ΔCFI ≤0.01 for invariance decisions. Missing data: multiple imputation by chained equations (MICE) with ≥20 imputations. Go/no-go decision rules for scale-up: recruitment ≥60% of planned within enrollment window; 3-month retention ≥70%; mean SUS ≥68; module completion ≥50%; HPV verification ≥50%.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Recruitment and retention risk in rural emerging adults may yield small samples and biased samples (those with better connectivity). Digital divide: uneven broadband, device ownership, or data caps may reduce reach and bias engagement metrics. Self-report bias: behavior measures may overestimate change without full objective verification; IIS/registry access may be delayed or blocked by state rules. Small pilot sample limits statistical precision and subgroup inference; ICCs and SDs may be unstable. Technical failure modes: PWA offline caching or sync failures, data loss, or security incidents. Measurement and psychometric risks: instruments may not achieve full invariance across age/college status/race groups. Cost/logistics constraints: cotinine assays, accelerometers, and IIS queries increase per-participant cost and processing time. Generalizability: findings may not extend to non-rural or non-English-speaking populations. Regulatory limits: state-by-state IIS policies and DUAs may restrict objective verification and introduce unequal data completeness.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