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a2a_cp_nkcc1_hydrocephalus</w:t>
      </w:r>
    </w:p>
    <w:p>
      <w:r>
        <w:t xml:space="preserve"> </w:t>
      </w:r>
    </w:p>
    <w:p>
      <w:pPr>
        <w:pStyle w:val="Heading2"/>
      </w:pPr>
      <w:r>
        <w:t>Title</w:t>
      </w:r>
    </w:p>
    <w:p>
      <w:r>
        <w:t>Pharmacological and genetic interrogation of adenosine A2A receptor regulation of choroid plexus NKCC1 to modulate cerebrospinal fluid secretion and ventriculomegaly in hydrocephalus</w:t>
      </w:r>
    </w:p>
    <w:p>
      <w:r>
        <w:t xml:space="preserve"> </w:t>
      </w:r>
    </w:p>
    <w:p>
      <w:pPr>
        <w:pStyle w:val="Heading2"/>
      </w:pPr>
      <w:r>
        <w:t>Short Hypothesis</w:t>
      </w:r>
    </w:p>
    <w:p>
      <w:r>
        <w:t>Activation of A2A receptors in choroid plexus epithelium increases NKCC1 activity and CSF secretion causing ventriculomegaly, and selective A2A antagonism or CP-epithelium A2A deletion reduces NKCC1 activity, lowers CSF production, and limits ventricular enlargement.</w:t>
      </w:r>
    </w:p>
    <w:p>
      <w:r>
        <w:t xml:space="preserve"> </w:t>
      </w:r>
    </w:p>
    <w:p>
      <w:pPr>
        <w:pStyle w:val="Heading2"/>
      </w:pPr>
      <w:r>
        <w:t>Related Work</w:t>
      </w:r>
    </w:p>
    <w:p>
      <w:r>
        <w:t>Prior work has shown adenosine receptors can modulate ion transport and fluid secretion in various epithelia using pharmacology, genetic knockouts, and transporter assays. Existing approaches often rely on systemic drug delivery, whole-brain knockout models, or non-CP cell lines. Limitations include poor CP specificity (effects may reflect vascular or ependymal A2A), inconsistent measurement of receptor occupancy in CP, scarce validation of A2A tools in primary CP epithelium, and limited linkage between receptor signaling and direct NKCC1-dependent CSF flux. Many studies use nonselective agonists/antagonists or single readouts (e.g., cAMP) that do not resolve pathway bias or transporter phosphorylation/trafficking. Translational gaps remain: cross-species CP expression differences, scarcity of human CP ex vivo data, and inadequate PK/occupancy pairing to predict clinical dosing.</w:t>
      </w:r>
    </w:p>
    <w:p>
      <w:r>
        <w:t xml:space="preserve"> </w:t>
      </w:r>
    </w:p>
    <w:p>
      <w:pPr>
        <w:pStyle w:val="Heading2"/>
      </w:pPr>
      <w:r>
        <w:t>Abstract</w:t>
      </w:r>
    </w:p>
    <w:p>
      <w:r>
        <w:t>Hydrocephalus involves excessive cerebrospinal fluid (CSF) accumulation and ventricular enlargement. This study tests whether adenosine A2A receptor signaling in choroid plexus (CP) epithelium controls NKCC1 transporter activity to drive CSF secretion and ventriculomegaly. We will combine selective A2A pharmacology, CP-epithelium-specific genetic manipulation, microscale PK/occupancy assays, and functional transport and imaging endpoints across cell, ex vivo, and rodent disease models. Primary contributions are (1) a causal demonstration linking CP A2A activity to NKCC1-mediated CSF flux, and (2) validated translational biomarkers (NKCC1 bumetanide-sensitive flux, CSF production rate, MRI ventricular volume) with paired occupancy–exposure data. Expected outcomes include quantitative dose–occupancy–effect relationships, demonstration that A2A antagonism or CP-targeted A2A deletion reduces CSF secretion and ventricular expansion, and a validated preclinical pipeline to support clinical repurposing of A2A antagonists for hydrocephalus.</w:t>
      </w:r>
    </w:p>
    <w:p>
      <w:r>
        <w:t xml:space="preserve"> </w:t>
      </w:r>
    </w:p>
    <w:p>
      <w:pPr>
        <w:pStyle w:val="Heading2"/>
      </w:pPr>
      <w:r>
        <w:t>Experiments</w:t>
      </w:r>
    </w:p>
    <w:p>
      <w:r>
        <w:t>Datasets and models: primary rodent CP epithelial cells (rat and mouse), Z310 CP cell line, human iPSC-derived CP organoids, ex vivo human CP tissue (surgical/autopsy with PMI and QC), hydrocephalic Texas rat (congenital) and post-hemorrhagic rodent models, CP-epithelium-specific Adora2a conditional KO and CP-targeted A2A overexpression lines (e.g., Ttr-Cre or Foxj1-Cre validated). Baselines and controls: vehicle, A1 receptor agonist/antagonist controls, nonselective adenosine agonist NECA, NKCC1 inhibitor bumetanide, istradefylline as clinical antagonist, SCH58261/ZM241385 for in vitro. Primary metrics: cAMP EC50 and Emax (HTRF/GloSensor), antagonist pA2 and Schild slope, β-arrestin recruitment (BRET/NanoBiT), NKCC1 bumetanide-sensitive 86Rb+ uptake (% change vs vehicle), SPAK/OSR1 phosphorylation fold-change, transepithelial short-circuit current (µA/cm2), ex vivo net CP fluid secretion (µL/min), in vivo CSF production rate (µL/min) by ventriculo-cisternal perfusion, MRI ventricular volume change (%) and occupancy (%) by PET or ex vivo radioligand displacement, PK: plasma/CSF/CP total and unbound concentrations (LC-MS/MS, equilibrium dialysis). Experimental setup and sequence: 1) Expression mapping: RNAscope/qPCR/Western blot/IHC in rodent and human CP to confirm ADORA2A localization. 2) In vitro signaling: 10-point concentration-response (0.01 nM–10 µM) for CGS21680 and regadenoson; run with/without SCH58261 or ZM241385 (preincubate 15–30 min) to derive EC50 and pA2; include IBMX (100 µM) for PDE blockade in endpoint assays. 3) Bias assessment: parallel cAMP and β-arrestin time courses. 4) NKCC1 functional assays: acute 86Rb+ flux (1–30 min) with bumetanide (10 µM) reversibility and SPAK/OSR1 phospho time course; surface biotinylation for trafficking. 5) Ex vivo CP: Ussing chamber and isolated CP net fluid secretion assays with apical/basolateral drug application. 6) PK/occupancy pilots: rodent IV/PO dosing to achieve ~20/50/80% predicted occupancy; measure unbound CP levels and perform PET or ex vivo displacement (radioligand specifics in SOP). 7) In vivo efficacy: randomize hydrocephalus-model cohorts (pilot n=6/group; efficacy n=10–14/group) to vehicle, A2A agonist, A2A antagonist, and antagonist+bumetanide arms; perform ventriculo-cisternal perfusion acutely and longitudinal MRI at baseline, 1, 2, and 4 weeks. 8) Genetic validation: repeat primary endpoints in CP-epithelium A2A KO and overexpression animals. Statistical model and comparisons: primary endpoint is NKCC1 bumetanide-sensitive flux analyzed by ANCOVA or mixed-effects model with baseline covariate; pairwise contrasts with alpha=0.05; secondary endpoints adjusted for multiplicity by FDR. Ablation/comparison studies: (A) pharmacology vs genetic KO (test causal specificity); (B) antagonist alone vs antagonist+NKCC1 inhibitor (test NKCC1 dependence); (C) in vitro antagonist panel (SCH58261 vs ZM241385 vs istradefylline) for concordance. Preplanned QA: blinded endpoint analysis and preregistered analysis code.</w:t>
      </w:r>
    </w:p>
    <w:p>
      <w:r>
        <w:t xml:space="preserve"> </w:t>
      </w:r>
    </w:p>
    <w:p>
      <w:pPr>
        <w:pStyle w:val="Heading2"/>
      </w:pPr>
      <w:r>
        <w:t>Risk Factors And Limitations</w:t>
      </w:r>
    </w:p>
    <w:p>
      <w:r>
        <w:t>Antibody and RNAscope specificity in CP may be limited; lot-to-lot variability and need for KO controls can delay validation. Radioligand or PET tracer availability for A2A occupancy in CP may be limited; ex vivo displacement may not perfectly predict in vivo PET. Measuring unbound drug in tiny CP samples has low analyte mass and can be near limits of quantification, leading to noisy fu estimates. Anesthesia (isoflurane/ketamine) can alter CSF production and transporter phosphorylation and may confound acute measures. Species differences in CP permeability, A2A expression, and NKCC1 regulation limit cross-species generalization. Off-target activity at A1/A2B receptors or systemic cardiovascular effects of A2A modulators may complicate interpretation. Chronic A2A modulation may induce compensatory transporter remodeling, reducing effect size over time. Human CP samples vary by post-mortem interval and disease state, reducing reproducibility of ex vivo results. Computational and imaging limits: small ventricular volume changes require high-resolution MRI and robust segmentation; intersite harmonization may be hard to achieve.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