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lab_errors_two_stage_retrospective</w:t>
      </w:r>
    </w:p>
    <w:p>
      <w:r>
        <w:t xml:space="preserve"> </w:t>
      </w:r>
    </w:p>
    <w:p>
      <w:pPr>
        <w:pStyle w:val="Heading2"/>
      </w:pPr>
      <w:r>
        <w:t>Title</w:t>
      </w:r>
    </w:p>
    <w:p>
      <w:r>
        <w:t>Two-stage automated flagging and blinded adjudication with multilevel modeling to quantify laboratory testing errors in a general hospital: a three-year retrospective study</w:t>
      </w:r>
    </w:p>
    <w:p>
      <w:r>
        <w:t xml:space="preserve"> </w:t>
      </w:r>
    </w:p>
    <w:p>
      <w:pPr>
        <w:pStyle w:val="Heading2"/>
      </w:pPr>
      <w:r>
        <w:t>Short Hypothesis</w:t>
      </w:r>
    </w:p>
    <w:p>
      <w:r>
        <w:t>A two-stage workflow combining rule-based automated flagging and blinded dual-expert adjudication will detect a higher true-positive rate of clinically significant laboratory testing errors per 1,000 tests than voluntary incident reporting alone over a three-year retrospective period.</w:t>
      </w:r>
    </w:p>
    <w:p>
      <w:r>
        <w:t xml:space="preserve"> </w:t>
      </w:r>
    </w:p>
    <w:p>
      <w:pPr>
        <w:pStyle w:val="Heading2"/>
      </w:pPr>
      <w:r>
        <w:t>Related Work</w:t>
      </w:r>
    </w:p>
    <w:p>
      <w:r>
        <w:t>Existing approaches to measuring laboratory testing errors rely on three main families of methods: voluntary incident reporting, isolated automated flags in laboratory information systems (LIS), and small-scale manual audits. Voluntary reporting is known to undercount events because it depends on staff submission and is biased toward detected or harmful incidents. Automated LIS flags (for example hemolysis index thresholds or rejection codes) scale well but produce false positives and inconsistent mappings across vendors. Manual audits yield high validity but are resource-intensive and rarely scaled beyond pilot samples. Prior statistical analyses use basic rates or unilevel regression and often lack robust linkage between LIS and electronic health record (EHR) events, leading to misattributed outcomes. Machine-learning studies show promise for anomaly detection but are limited by scarce labeled error examples and poor external validation. Key unresolved issues are: harmonizing vendor codes and IFU thresholds, validated linkage of specimen-to-clinical outcome, reliable adjudication workflows with measured inter-rater reliability, and statistical methods for rare high-impact events.</w:t>
      </w:r>
    </w:p>
    <w:p>
      <w:r>
        <w:t xml:space="preserve"> </w:t>
      </w:r>
    </w:p>
    <w:p>
      <w:pPr>
        <w:pStyle w:val="Heading2"/>
      </w:pPr>
      <w:r>
        <w:t>Abstract</w:t>
      </w:r>
    </w:p>
    <w:p>
      <w:r>
        <w:t>We address the problem of under-detection and inconsistent classification of laboratory testing errors in hospitals by developing and evaluating a reproducible two-stage workflow on a three-year retrospective dataset. Stage one uses rule-based automated flags that harmonize vendor rejection codes and analyzer hemolysis index thresholds (IFU-aware) to identify candidate error events. Stage two applies blinded dual-expert adjudication with prespecified decision rules and quantified inter-rater reliability. Linked EHR, LIS, QA logs, and instrument maintenance records enable event-level analysis. Main contributions are: (1) a unified vendor-to-taxonomy mapping and hemolysis IFU application, (2) an enriched validation substudy with sampling targets to estimate sensitivity and specificity, and (3) multilevel statistical models (counts and rare-event logistic) to quantify rates, drivers, and clinical impact. Expected outcomes are reproducible estimates of error incidence per 1,000 tests, evaluated false-flag rates, measured reviewer agreement, and prioritized targets for mitigation. Results will inform scalable surveillance, targeted quality interventions, and future prospective detection systems.</w:t>
      </w:r>
    </w:p>
    <w:p>
      <w:r>
        <w:t xml:space="preserve"> </w:t>
      </w:r>
    </w:p>
    <w:p>
      <w:pPr>
        <w:pStyle w:val="Heading2"/>
      </w:pPr>
      <w:r>
        <w:t>Experiments</w:t>
      </w:r>
    </w:p>
    <w:p>
      <w:r>
        <w:t>Datasets: three years of hospital data including LIS test orders/results with analyzer model and hemolysis index (HI), EHR demographics and clinical outcomes, QA incident/near-miss logs, phlebotomy/collector rosters, and instrument maintenance logs. Preprocess: deterministic linkage hierarchy (specimen ID &gt; order/accession &gt; MRN+orderID &gt; MRN+collection time ±15 min + specimen type) and confidence scoring; exclude low-confidence links from primary analysis and retain for sensitivity sets. Validation substudy: enriched case-cohort per error class with targets n_pos=150 flagged positives and n_neg=300 unflagged negatives when available; for very rare events include all flagged cases and minimum descriptive n_pos≥30. Baselines: (A) voluntary incident-reporting alone, (B) automated flags only, (C) manual audit only (adjudicated gold standard). Methods to compare: automated-only vs automated+adjudication; capture–recapture estimate between automated flags and voluntary reports. Models: multilevel negative binomial for counts aggregated at ward-month with random intercepts for ward and instrument; Firth penalized logistic regression for rare binary events; Bayesian hierarchical logistic/count models with weakly informative priors Normal(0,2.5) on log-odds coefficients and hierarchical shrinkage across analytes (group-level SD prior Half-Cauchy(0,1)). Multiplicity control: Bayesian partial pooling or frequentist Benjamini-Hochberg FDR at 5% for multiple analytes. Evaluation metrics: sensitivity, specificity, positive predictive value (PPV), false-flag rate (defined as proportion of automated-flagged cases adjudicated as non-errors), Cohen's kappa (inter-rater), error rate per 1,000 tests, specimen rejection rate, hemolysis % (HI≥threshold), median critical-result notification time, and model fit statistics (WAIC/LOO for Bayesian, AIC/BIC for frequentist). Statistical inference: 95% credible intervals (Bayesian) or 95% CIs via bootstrap for rates. Ablations: (1) IFU-based HI cutoffs vs default thresholds (HI≥50, severe ≥100), (2) include vs exclude low-confidence links, (3) automated flags alone vs automated + adjudication, (4) Bayesian hierarchical vs Firth logistic for rare outcomes. Implementation details: perform stratified analyses by department and specimen type; prespecify monthly aggregation; perform power-checks using observed denominators and design effect with assumed cluster sizes; report pre-registered analysis scripts and seed for reproducibility.</w:t>
      </w:r>
    </w:p>
    <w:p>
      <w:r>
        <w:t xml:space="preserve"> </w:t>
      </w:r>
    </w:p>
    <w:p>
      <w:pPr>
        <w:pStyle w:val="Heading2"/>
      </w:pPr>
      <w:r>
        <w:t>Risk Factors And Limitations</w:t>
      </w:r>
    </w:p>
    <w:p>
      <w:r>
        <w:t>Linkage errors: deterministic matching may mis-link specimens and outcomes leading to bias; low-confidence links may reduce sample size and power. Missing or inconsistent timestamps and vendor code heterogeneity limit flag accuracy. Underreporting bias: voluntary reports will undercount events, making capture–recapture estimates sensitive to reporting assumptions. Rare-event sparsity: some high-impact errors are too rare for powered inferential models; estimates will have wide uncertainty. Inter-rater variability: adjudicator disagreement may persist despite calibration and reduce effective sensitivity. IFU heterogeneity: different analyzer IFUs and firmware versions complicate unified HI thresholds. Privacy and IRB constraints: de-identification and key handling may limit ability to re-link or follow outcomes. Generalizability: single-center vendor mix and workflows limit external validity. Computational: processing large linked datasets and Bayesian models may require substantial compute and time. Evaluation bias: excluding low-confidence links or certain departments may bias rate estimates. These limitations constrain causal claims and require cautious interpretation.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