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analytical_errors_trc</w:t>
      </w:r>
    </w:p>
    <w:p>
      <w:r>
        <w:t xml:space="preserve"> </w:t>
      </w:r>
    </w:p>
    <w:p>
      <w:pPr>
        <w:pStyle w:val="Heading2"/>
      </w:pPr>
      <w:r>
        <w:t>Title</w:t>
      </w:r>
    </w:p>
    <w:p>
      <w:r>
        <w:t>Interrupted time-series and hierarchical negative-binomial evaluation of laboratory interventions to reduce analytical errors in a Thai Red Cross general hospital</w:t>
      </w:r>
    </w:p>
    <w:p>
      <w:r>
        <w:t xml:space="preserve"> </w:t>
      </w:r>
    </w:p>
    <w:p>
      <w:pPr>
        <w:pStyle w:val="Heading2"/>
      </w:pPr>
      <w:r>
        <w:t>Short Hypothesis</w:t>
      </w:r>
    </w:p>
    <w:p>
      <w:r>
        <w:t>Implementing barcode-driven specimen labeling, automated QC reject rules, and harmonized hemolysis/icterus/lipemia (H/I/L) thresholds will reduce the analytical error rate by at least 20% per 10,000 tests within 12 months of intervention.</w:t>
      </w:r>
    </w:p>
    <w:p>
      <w:r>
        <w:t xml:space="preserve"> </w:t>
      </w:r>
    </w:p>
    <w:p>
      <w:pPr>
        <w:pStyle w:val="Heading2"/>
      </w:pPr>
      <w:r>
        <w:t>Related Work</w:t>
      </w:r>
    </w:p>
    <w:p>
      <w:r>
        <w:t>Existing work defines laboratory error taxonomies (pre-analytical, analytical, post-analytical) and applies QC rules (e.g., Westgard rules) for instrument monitoring. Prior improvement efforts used barcode labeling and auto-reject rules to reduce specimen identification and interference errors; results show variable effect sizes and often lack long-term, controlled evaluation. Time-series and mixed models have been used to evaluate interventions in clinical settings, but healthcare ITS studies frequently omit robust control for autocorrelation, seasonality, and case-mix. Capture–recapture and Bayesian methods have been proposed to estimate underreporting, yet published implementations rarely combine automated QC flags, LIS logs, and adjudicated incident reports. Verification of vendor H/I/L indices across analyzers is inconsistently performed; many studies do not publish harmonized thresholds or blinded clinical adjudication. Common limitations are incomplete data integration, weak reproducibility (no containerized ETL/code), underreporting bias, lack of EHR linkage to clinical outcomes, and absence of prespecified statistical analysis plans.</w:t>
      </w:r>
    </w:p>
    <w:p>
      <w:r>
        <w:t xml:space="preserve"> </w:t>
      </w:r>
    </w:p>
    <w:p>
      <w:pPr>
        <w:pStyle w:val="Heading2"/>
      </w:pPr>
      <w:r>
        <w:t>Abstract</w:t>
      </w:r>
    </w:p>
    <w:p>
      <w:r>
        <w:t>Analytical errors in hospital laboratories threaten patient safety and cause wasted tests, delays, or wrong decisions. We propose a reproducible 3-year study that links standardized incident reports, laboratory information system (LIS) logs, instrument QC flags, and hospital electronic health records (EHRs) to evaluate whether a bundle of interventions reduces analytical errors. The core methods are interrupted time-series (ITS) analysis with segmented regression to detect level and slope changes after interventions, and hierarchical (multilevel) negative-binomial regression to model incident counts while accounting for overdispersion and clustering by instrument/site. We will harmonize hemolysis/icterus/lipemia (H/I/L) thresholds across analyzers using a verification panel and apply automated Westgard-based reject triggers. Main contributions are (1) an auditable data pipeline that integrates diverse sources, (2) a blinded chart-adjudication protocol linking lab incidents to clinical impact, and (3) rigorous causal inference using ITS, mixed models, and capture–recapture for underreporting. Expected outcomes include quantified effect sizes for each intervention, validated thresholds, and public, containerized analysis code to support reproducibility. (Note: ITS is a time-based method that compares trends before and after an intervention; negative-binomial models handle count data with extra variability.)</w:t>
      </w:r>
    </w:p>
    <w:p>
      <w:r>
        <w:t xml:space="preserve"> </w:t>
      </w:r>
    </w:p>
    <w:p>
      <w:pPr>
        <w:pStyle w:val="Heading2"/>
      </w:pPr>
      <w:r>
        <w:t>Experiments</w:t>
      </w:r>
    </w:p>
    <w:p>
      <w:r>
        <w:t>Datasets:</w:t>
        <w:br/>
        <w:t>- Three years of lab data from the hospital: standardized incident reports, LIS audit trails, instrument QC logs (including vendor H/I/L indices), maintenance logs, and test volumes (monthly).</w:t>
        <w:br/>
        <w:t>- Linked EHR events for clinical outcomes: medication orders, transfusions, admission/discharge timestamps, ICD/procedure codes.</w:t>
        <w:br/>
        <w:t>- Pilot verification panel: 1,000-specimen spiked hemolysate/icterus/lipemia series across target analyzers.</w:t>
        <w:br/>
        <w:t>Baselines:</w:t>
        <w:br/>
        <w:t>- Pre-intervention period: 12 months before first intervention.</w:t>
        <w:br/>
        <w:t>- Optional external control: comparable lab/site not receiving interventions (if available).</w:t>
        <w:br/>
        <w:t>Primary metrics:</w:t>
        <w:br/>
        <w:t>- Incident rate per 10,000 tests (count of analytical incidents / tests ×10,000).</w:t>
        <w:br/>
        <w:t>Secondary metrics:</w:t>
        <w:br/>
        <w:t>- Time-to-detection (hours), time-to-correction (hours), percent incidents with adjudicated clinical impact, repeat-test rate, CAPA closure time.</w:t>
        <w:br/>
        <w:t>Modeling and evaluation:</w:t>
        <w:br/>
        <w:t>1) ITS segmented regression on monthly incident counts: model form log(E[Y_t]) = β0 + β1*time + β2*intervention_level + β3*post_time + seasonality terms (sine/cosine) + offset(log(test_volume)), with Newey-West SEs or AR(1) error structure to handle autocorrelation. Report level change (β2) and slope change (β3) with 95% CIs.</w:t>
        <w:br/>
        <w:t>2) Mixed-effects negative-binomial regression: outcome = incident counts by month-instrument; fixed effects: intervention indicators, staffing/shift covariates, assay mix; random intercepts for instrument and month; offset = log(test_volume). Report incidence rate ratios (IRR).</w:t>
        <w:br/>
        <w:t>3) Survival models (Cox or AFT) for time-to-detection and time-to-correction, censoring at closure.</w:t>
        <w:br/>
        <w:t>4) Capture–recapture: log-linear models across three sources (incident reports, QC rejects, LIS exceptions); if dependence detected, fit Bayesian hierarchical capture–recapture with priors informed by manual audit (n=200–300).</w:t>
        <w:br/>
        <w:t>5) Blinded chart-adjudication: dual independent reviewers for a random sample of incidents to link to management changes within attribution windows; compute kappa and use adjudicated labels as outcome for clinical-impact metrics.</w:t>
        <w:br/>
        <w:t>Comparisons and ablations:</w:t>
        <w:br/>
        <w:t>- Ablation A: full intervention bundle vs bundle minus barcode labeling (measure marginal effect of barcode).</w:t>
        <w:br/>
        <w:t>- Ablation B: mixed NB vs quasi-Poisson to assess robustness to dispersion assumptions.</w:t>
        <w:br/>
        <w:t>- Ablation C: models with vs without capture–recapture adjustment for underreporting.</w:t>
        <w:br/>
        <w:t>Sensitivity analyses:</w:t>
        <w:br/>
        <w:t>- Vary attribution windows (±24h, 48h, 7 days) and re-estimate clinical-impact rates.</w:t>
        <w:br/>
        <w:t>- Vary misclassification rates in simulation (±10–20%) and rerun ITS and mixed models.</w:t>
        <w:br/>
        <w:t>Power and pre-specification:</w:t>
        <w:br/>
        <w:t>- Pre-run R-based simulation scripts (published in repo) varying baseline rate (50/10,000), autocorrelation rho=0.3, dispersion phi=2, ICC=0.05 to confirm ability to detect ≥20% relative reduction with 80% power over 36 months. All model forms, covariates, seasonality terms, and multiple-testing rules (Benjamini-Hochberg for secondary endpoints) will be locked in the SAP before unblinded analysis.</w:t>
        <w:br/>
        <w:t>Data handling:</w:t>
        <w:br/>
        <w:t>- Dual-review annotation, deterministic MRN+timestamp linkage with probabilistic fallback, MICE for MAR missingness (categorical imputation for factors), and pre-specified MNAR tipping-point tests.</w:t>
      </w:r>
    </w:p>
    <w:p>
      <w:r>
        <w:t xml:space="preserve"> </w:t>
      </w:r>
    </w:p>
    <w:p>
      <w:pPr>
        <w:pStyle w:val="Heading2"/>
      </w:pPr>
      <w:r>
        <w:t>Risk Factors And Limitations</w:t>
      </w:r>
    </w:p>
    <w:p>
      <w:r>
        <w:t>Underreporting: voluntary incident reports may miss events; capture–recapture may fail if sources are strongly dependent. Misclassification: errors in incident categorization or H/I/L action thresholds may bias estimates. EHR linkage errors: missing MRNs or clock skew can misattribute outcomes. Temporal confounding: concurrent hospital initiatives or seasonal trends could mimic intervention effects. Power limits: lower than expected baseline rates reduce ability to detect 20% change. Heterogeneity: analyzer-specific H/I/L indices and reagent lots may limit generalizability. Data completeness: pre-analytic fields (tourniquet time, phlebotomist ID, transport temperature) may be unavailable or inconsistent across shifts. Privacy constraints: EHR linkage and synthetic data sharing may be restricted by IRB/DUA requirements. Computational limits: ETL and dashboarding require modest engineering resources; large-scale manual adjudication is labor intensive. No mitigation steps included.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