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anion_gap_predicts_lactate_noshock</w:t>
      </w:r>
    </w:p>
    <w:p>
      <w:r>
        <w:t xml:space="preserve"> </w:t>
      </w:r>
    </w:p>
    <w:p>
      <w:pPr>
        <w:pStyle w:val="Heading2"/>
      </w:pPr>
      <w:r>
        <w:t>Title</w:t>
      </w:r>
    </w:p>
    <w:p>
      <w:r>
        <w:t>Retrospective multicenter prediction using arrival anion gap for elevated serum lactate in adult emergency department patients with sepsis without shock</w:t>
      </w:r>
    </w:p>
    <w:p>
      <w:r>
        <w:t xml:space="preserve"> </w:t>
      </w:r>
    </w:p>
    <w:p>
      <w:pPr>
        <w:pStyle w:val="Heading2"/>
      </w:pPr>
      <w:r>
        <w:t>Short Hypothesis</w:t>
      </w:r>
    </w:p>
    <w:p>
      <w:r>
        <w:t>In adult ED patients with sepsis but without shock, a higher serum anion gap on arrival causally predicts an increased probability of elevated serum lactate (primary threshold: ≥2.0 mmol/L).</w:t>
      </w:r>
    </w:p>
    <w:p>
      <w:r>
        <w:t xml:space="preserve"> </w:t>
      </w:r>
    </w:p>
    <w:p>
      <w:pPr>
        <w:pStyle w:val="Heading2"/>
      </w:pPr>
      <w:r>
        <w:t>Related Work</w:t>
      </w:r>
    </w:p>
    <w:p>
      <w:r>
        <w:t>Prior work has evaluated using the anion gap (AG) — a lab value computed from common electrolytes that can indicate unmeasured acids — as a surrogate for elevated lactate in acutely ill patients. Existing studies often focused on ICU populations or patients with shock, used small single‑center cohorts, or lacked consistent timing between AG and lactate draws. Common limitations include: omission of albumin correction (low albumin lowers measured AG), inconsistent assay types (arterial vs venous vs point‑of‑care) that create measurement bias, selective lactate testing that causes sampling bias, limited adjustment for confounders and timing, and weak external validation. These gaps leave unresolved whether arrival AG, with albumin correction and modern bias controls, can reliably predict elevated lactate in ED patients who are septic but not in shock.</w:t>
      </w:r>
    </w:p>
    <w:p>
      <w:r>
        <w:t xml:space="preserve"> </w:t>
      </w:r>
    </w:p>
    <w:p>
      <w:pPr>
        <w:pStyle w:val="Heading2"/>
      </w:pPr>
      <w:r>
        <w:t>Abstract</w:t>
      </w:r>
    </w:p>
    <w:p>
      <w:r>
        <w:t>Elevated serum lactate is an important marker of tissue hypoperfusion in sepsis, but routine lactate testing can be delayed or selective in emergency departments. We propose to evaluate whether the anion gap (AG), an easily computed value from routine electrolytes, predicts elevated lactate (primary threshold ≥2.0 mmol/L) in adult ED patients with sepsis without shock. Using a retrospective multicenter cohort, we will compute uncorrected and albumin‑corrected AG and test predictive performance with penalized and mixed‑effects logistic regression models (elastic‑net for variable selection; mixed effects to account for site and repeated encounters). Primary outputs will be ROC area, sensitivity/specificity at prespecified AG cutoffs, calibration, and decision‑curve net benefit (decision curve quantifies clinical usefulness). Main contributions are: (1) rigorous, time‑aligned evaluation of AG as a rapid risk marker in non‑shock sepsis; (2) comparison of uncorrected vs albumin‑corrected AG; and (3) transparent bias analyses for selective testing and lab harmonization. Expected impact: evidence to inform whether low AG can safely reduce immediate lactate testing in low‑risk ED sepsis patients.</w:t>
      </w:r>
    </w:p>
    <w:p>
      <w:r>
        <w:t xml:space="preserve"> </w:t>
      </w:r>
    </w:p>
    <w:p>
      <w:pPr>
        <w:pStyle w:val="Heading2"/>
      </w:pPr>
      <w:r>
        <w:t>Experiments</w:t>
      </w:r>
    </w:p>
    <w:p>
      <w:r>
        <w:t>Datasets: retrospective, deidentified EHR extracts from ≥3 diverse hospitals; adult (≥18) ED encounters with suspected sepsis (sepsis order set OR antibiotics+blood culture within 3h OR clinician note/ICD codes); require BMP (Na, Cl, HCO3) and serum lactate drawn within 3h of arrival and within 60 min of each other; exclude vasopressor use or sustained hypotension prior to labs, ESRD on dialysis, DKA, toxic ingestions. Target sample: ≥1500 encounters total, anticipating ~30% prevalence of lactate ≥2.0 mmol/L. Baselines: (A) simple clinical rule using vital signs only (HR/RR/SBP/temp/mental status), (B) AG categorical thresholds uncorrected, (C) albumin‑corrected AG thresholds, (D) full multivariable logistic model without AG. Models: elastic‑net penalized logistic regression (elastic‑net mixes L1 and L2 penalties; penalty strength = lambda, mixing parameter = alpha) tuned by nested 5‑fold CV; mixed‑effects logistic regression with random intercepts for site and patient for primary inference (refit selected fixed effects from penalized stage); alternative marginal models with cluster‑robust SEs. Missing data: MICE (multiple imputation by chained equations), m=20. Selection bias: inverse‑probability weighting (IPW) for probability of lactate testing; sensitivity with Heckman selection and pattern‑mixture (MNAR) delta shifts. Evaluation metrics: AUC-ROC with 95% CI, sensitivity/specificity/PPV/NPV at prespecified AG cutoffs (≤12, 12–14, 14–16, &gt;16), calibration slope and intercept, Brier score, false‑negative rate (FNR), decision‑curve net benefit, and net reclassification improvement (NRI) vs baselines. Validation: internal bootstrap (1000 iterations) for optimism correction; nested CV for hyperparameter tuning; external temporal/site validation on held‑out hospital(s). Ablations: (1) exclude albumin correction, (2) exclude patients with CKD, (3) exclude POCT/arterial lactates, (4) vary lab timing windows (±1 h), (5) omit IPW and compare estimates, (6) compare penalized→refit mixed model vs group‑penalized mixed models if feasible. Reporting: report prespecified clinical FNR safety thresholds and decision thresholds chosen by maximizing net benefit subject to FNR constraints.</w:t>
      </w:r>
    </w:p>
    <w:p>
      <w:r>
        <w:t xml:space="preserve"> </w:t>
      </w:r>
    </w:p>
    <w:p>
      <w:pPr>
        <w:pStyle w:val="Heading2"/>
      </w:pPr>
      <w:r>
        <w:t>Risk Factors And Limitations</w:t>
      </w:r>
    </w:p>
    <w:p>
      <w:r>
        <w:t>Selection bias: many eligible sepsis patients may lack lactate within the index window, causing biased estimates if testing is not random. Measurement heterogeneity: arterial vs venous vs point‑of‑care assays and varying albumin assays can introduce systematic measurement error. Paired sample paucity: insufficient paired arterial/venous/POCT samples may preclude reliable Deming calibration. Missing data: high missingness in albumin or covariates can weaken imputation assumptions (MAR). Confounding and residual bias: unmeasured factors may confound AG–lactate association. Overfitting and instability: penalized models may still overfit small subgroups or rare events despite shrinkage. Clustering and leakage: improper cross‑validation across repeated encounters or sites can overstate performance. NLP and coding errors: EHR note NLP and ICD code selection may misclassify sepsis eligibility. Generalizability limits: results apply to adult ED sepsis without shock and may not extend to pediatric patients, ICU populations, or patients in shock. Safety risk: using AG to defer lactate could miss true elevated lactate in rare cases, causing clinical harm if deployed without prospective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