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triherbal_antithromboinflammation_rat</w:t>
      </w:r>
    </w:p>
    <w:p>
      <w:r>
        <w:t xml:space="preserve"> </w:t>
      </w:r>
    </w:p>
    <w:p>
      <w:pPr>
        <w:pStyle w:val="Heading2"/>
      </w:pPr>
      <w:r>
        <w:t>Title</w:t>
      </w:r>
    </w:p>
    <w:p>
      <w:r>
        <w:t>Evaluation of oral standardized triherbal hydroalcoholic extract for reduction of thromboinflammation in streptozotocin-induced diabetic rats</w:t>
      </w:r>
    </w:p>
    <w:p>
      <w:r>
        <w:t xml:space="preserve"> </w:t>
      </w:r>
    </w:p>
    <w:p>
      <w:pPr>
        <w:pStyle w:val="Heading2"/>
      </w:pPr>
      <w:r>
        <w:t>Short Hypothesis</w:t>
      </w:r>
    </w:p>
    <w:p>
      <w:r>
        <w:t>Oral administration of a standardized triherbal hydroalcoholic extract at defined dosing reduces arterial thrombosis (increases time-to-occlusion) and lowers thromboinflammatory biomarkers versus vehicle in STZ-induced diabetic rats.</w:t>
      </w:r>
    </w:p>
    <w:p>
      <w:r>
        <w:t xml:space="preserve"> </w:t>
      </w:r>
    </w:p>
    <w:p>
      <w:pPr>
        <w:pStyle w:val="Heading2"/>
      </w:pPr>
      <w:r>
        <w:t>Related Work</w:t>
      </w:r>
    </w:p>
    <w:p>
      <w:r>
        <w:t>Prior work has tested herbal extracts, individual phytochemicals, and conventional antithrombotics in diabetic thrombosis models and used biomarker panels and pharmacokinetic (PK) assessments to interpret effects. Existing approaches often lack: 1) standardized, well-characterized multi-herb extract chemistry and reproducible batch acceptance criteria; 2) bioassay-guided linkage between chemical markers and anti-thromboinflammatory activity; 3) integrated PK/PD (pharmacokinetic/pharmacodynamic) designs that support NLME (nonlinear mixed-effects) modeling for marker exposure–response; and 4) harmonized thrombosis SOPs in diabetic animals. Limitations include high inter-batch variability in herbal preparations, low plasma exposure of marker compounds, inconsistent thrombosis endpoints across studies, limited toxin/residual solvent control, and sparse toxicology data that prevent clear progression rules. These gaps reduce reproducibility and hinder translation of herbal anti-thromboinflammatory claims into mechanistic PK/PD-supported evidence.</w:t>
      </w:r>
    </w:p>
    <w:p>
      <w:r>
        <w:t xml:space="preserve"> </w:t>
      </w:r>
    </w:p>
    <w:p>
      <w:pPr>
        <w:pStyle w:val="Heading2"/>
      </w:pPr>
      <w:r>
        <w:t>Abstract</w:t>
      </w:r>
    </w:p>
    <w:p>
      <w:r>
        <w:t>Diabetic patients have increased thromboinflammatory risk. This study tests whether a reproducible, standardized triherbal hydroalcoholic extract reduces arterial thrombosis and systemic thromboinflammation in streptozotocin (STZ)-induced diabetic rats. We will produce a characterized extract, select 2–4 chemical markers by bioassay-guided fractionation, and quantify markers by validated LC-MS/MS. Efficacy will be evaluated using a locked FeCl3 carotid artery thrombosis SOP (15% FeCl3, 2×2 mm filter paper, 3 min contact) and co-primary endpoints: time-to-occlusion and thrombus volume measured by intravital microscopy and ex vivo microscopy. Secondary outcomes are plasma thromboinflammatory biomarkers (D-dimer, TAT, vWF, soluble P-selectin, CitH3), platelet function, and histology for NETs (neutrophil extracellular traps). PK sampling (0–24 h and steady-state troughs) will support NLME modeling linking marker exposure to PD effects. Comparators include vehicle and standard antithrombotics (aspirin, clopidogrel, enoxaparin) and ablation arms testing active fraction(s) and marker-depleted extract. Expected outcome: a reproducible efficacy and exposure–response dataset that defines marker-linked anti-thromboinflammatory activity and objective progression criteria for toxicology.</w:t>
      </w:r>
    </w:p>
    <w:p>
      <w:r>
        <w:t xml:space="preserve"> </w:t>
      </w:r>
    </w:p>
    <w:p>
      <w:pPr>
        <w:pStyle w:val="Heading2"/>
      </w:pPr>
      <w:r>
        <w:t>Experiments</w:t>
      </w:r>
    </w:p>
    <w:p>
      <w:r>
        <w:t>Datasets: STZ-induced diabetic Sprague–Dawley rats (both sexes, 8–10 weeks). Inclusion: fasting glucose &gt;250 mg/dL on two readings or HbA1c ≥6.5% at 2–3 weeks after STZ (50 mg/kg IP). Pilot: n=6–8 per group to estimate SD for time-to-occlusion. Main efficacy arms (n=12 per group): 1) non-diabetic vehicle, 2) diabetic vehicle, 3) diabetic + crude extract 100 mg/kg PO once daily, 4) diabetic + crude extract 300 mg/kg PO once daily, 5) diabetic + active fraction (dose matched by marker content to 300 mg/kg), 6) diabetic + marker mixture (isolated markers combined, dose giving equivalent exposure), 7) diabetic + marker-depleted extract (same mg/kg), 8) diabetic + aspirin 30 mg/kg PO, 9) diabetic + clopidogrel 30 mg/kg PO, 10) diabetic + enoxaparin 1 mg/kg SC. Randomization: computer-generated; blinding: dosing personnel blinded where possible, outcome assessors and histopathologists blinded until database lock. FeCl3 carotid SOP: 15% FeCl3 w/v, 2×2 mm filter paper, 3 min contact; anesthesia isoflurane induction 3–4% maintenance 1.5–2%; temperature 37±0.5°C; perioperative buprenorphine 0.05 mg/kg SC. Primary metrics: time-to-occlusion (seconds), thrombus volume (µm3) by intravital imaging/ex vivo microscopy. Secondary metrics: platelet aggregation (light transmission or impedance), calibrated automated thrombography (CAT) outputs (lag time, peak thrombin, ETP), ROTEM/TEG clot kinetics, plasma biomarkers D-dimer, TAT (thrombin–antithrombin), vWF, soluble P-selectin, CitH3, IL-6, TNF-α, MPO–DNA complexes. Histology: NET (CitH3/MPO) and fibrin deposition scoring by blinded pathologist. PK: select 2–4 markers; sparse-plus-intensive design using cannulated satellite animals (6 males + 6 females per dose) with serial microsampling at 0, 0.25, 0.5, 1, 2, 4, 8, 12, 24 h post-dose and troughs at days 3, 7, 14. Microsampling volumes: ≤200 µL per draw; cumulative ≤10% total blood volume over 14 days (example: 300 g rat total blood ~16 mL → 10% = 1.6 mL). Contingency: if intensive sampling not possible, use composite terminal sampling (3 animals/timepoint). Bioanalysis: validated LC-MS/MS per ICH Q2(R1) with LLOQ targets 1–10 ng/mL for marker classes. Baselines: vehicle and positive controls (aspirin, clopidogrel, enoxaparin). Ablation/comparison studies: crude vs active fraction, marker mixture vs marker-depleted extract to test chemical marker linkage to activity. Statistical analysis: hierarchical primary endpoints with Hochberg multiplicity correction; primary comparisons diabetic vehicle vs each treatment using mixed-model ANOVA or Cox model for time-to-occlusion; alpha=0.05; power: detect 30% change in occlusion time with SD=20% of mean → n≈12/group; interim analysis at 50% enrollment with O’Brien–Fleming boundary. PK/PD: NLME modeling with covariates sex, dose, baseline glucose; check VPC (visual predictive check) and ETA shrinkage. Data capture: electronic CRFs, blinded database, preregistered SAP.</w:t>
      </w:r>
    </w:p>
    <w:p>
      <w:r>
        <w:t xml:space="preserve"> </w:t>
      </w:r>
    </w:p>
    <w:p>
      <w:pPr>
        <w:pStyle w:val="Heading2"/>
      </w:pPr>
      <w:r>
        <w:t>Risk Factors And Limitations</w:t>
      </w:r>
    </w:p>
    <w:p>
      <w:r>
        <w:t>Variable botanical composition leading to batch-to-batch chemical differences and inconsistent activity. Low plasma exposure of selected marker compounds causing poor PK signal and NLME identifiability. Interference of anesthesia (isoflurane) or analgesia (buprenorphine) with coagulation, platelet function, or NET measures confounding endpoints. High animal-to-animal variability in FeCl3 model or in STZ glycemic response causing reduced statistical power. Microsampling limits and blood volume constraints that prevent intensive PK in the same animals used for efficacy. Measurement bias in NET assays and histology if inter-rater reliability is low. Incomplete linkage between in vitro bioassays and in vivo outcomes (active fraction in vitro may not be active in vivo). Resource limits for GLP-compliant pivotal toxicology, bioanalysis, or third-party GLP assays may delay progression. Findings may not generalize to other diabetic models (db/db) or to human physiology due to species differences in metabolism and coagulation.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