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trust_interpretable_cdss</w:t>
      </w:r>
    </w:p>
    <w:p>
      <w:r>
        <w:t xml:space="preserve"> </w:t>
      </w:r>
    </w:p>
    <w:p>
      <w:pPr>
        <w:pStyle w:val="Heading2"/>
      </w:pPr>
      <w:r>
        <w:t>Title</w:t>
      </w:r>
    </w:p>
    <w:p>
      <w:r>
        <w:t>A randomized mixed-methods evaluation of explanation modalities on perceived trust and adherence in interpretable clinical decision support systems</w:t>
      </w:r>
    </w:p>
    <w:p>
      <w:r>
        <w:t xml:space="preserve"> </w:t>
      </w:r>
    </w:p>
    <w:p>
      <w:pPr>
        <w:pStyle w:val="Heading2"/>
      </w:pPr>
      <w:r>
        <w:t>Short Hypothesis</w:t>
      </w:r>
    </w:p>
    <w:p>
      <w:r>
        <w:t>Provision of calibrated uncertainty estimates plus high-fidelity counterfactual explanations in an interpretable CDSS causes higher clinician perceived trust (higher Trust Score) and greater adherence to recommendations (higher acceptance rate) than feature-attribution-only or no-explanation conditions.</w:t>
      </w:r>
    </w:p>
    <w:p>
      <w:r>
        <w:t xml:space="preserve"> </w:t>
      </w:r>
    </w:p>
    <w:p>
      <w:pPr>
        <w:pStyle w:val="Heading2"/>
      </w:pPr>
      <w:r>
        <w:t>Related Work</w:t>
      </w:r>
    </w:p>
    <w:p>
      <w:r>
        <w:t>Prior work has evaluated explainable AI methods (feature-attribution methods like SHAP/LIME, counterfactual generators, and calibrated probability outputs) and small studies of clinician reactions to CDSS explanations. Existing trust-in-automation scales and pilot usability studies have measured global trust or acceptance in narrow settings. Limitations include: few studies operationalize trust as a validated, multi-dimensional psychometric construct; limited head-to-head comparisons of explanation modalities (attribution vs counterfactual vs uncertainty vs provenance); sparse use of objective fidelity metrics linking explanations to actual model behavior; little integration of physiological measures (eye-tracking, pupillometry) or mixed-methods designs; small samples and lack of multi-site randomized designs; and inadequate linkage from perceived trust to downstream decision quality and calibration. These gaps leave open which explanation features causally affect calibrated clinician trust and safe adherence.</w:t>
      </w:r>
    </w:p>
    <w:p>
      <w:r>
        <w:t xml:space="preserve"> </w:t>
      </w:r>
    </w:p>
    <w:p>
      <w:pPr>
        <w:pStyle w:val="Heading2"/>
      </w:pPr>
      <w:r>
        <w:t>Abstract</w:t>
      </w:r>
    </w:p>
    <w:p>
      <w:r>
        <w:t>Clinical decision support systems (CDSS) can improve patient care if clinicians trust and correctly calibrate that trust to model reliability. We propose a randomized, mixed-methods study to measure how specific explanation modalities affect clinician perceived trust and adherence across safety-critical scenarios (inpatient sepsis, medication dosing, ED chest pain, ICU ventilator weaning). We will deploy modular CDSS prototypes that vary explanation content: feature attributions, counterfactuals, explicit calibrated uncertainty, and provenance. Primary contributions are (1) a validated 15-item, five-dimension Trust Score (competence, benevolence, transparency, usefulness, risk awareness), (2) objective fidelity metrics for local and counterfactual explanations, and (3) causal evidence linking explanation properties to Trust Score, behavioral adherence, calibration (Brier, ECE), and decision quality using hierarchical mixed-effects models. Expected outcomes include ranked explanation feature effects, psychometric validation, and an open toolkit (scenarios, UI variants, instruments, analysis code) to guide design of CDSS explanations that produce calibrated clinician trust and safer decisions.</w:t>
      </w:r>
    </w:p>
    <w:p>
      <w:r>
        <w:t xml:space="preserve"> </w:t>
      </w:r>
    </w:p>
    <w:p>
      <w:pPr>
        <w:pStyle w:val="Heading2"/>
      </w:pPr>
      <w:r>
        <w:t>Experiments</w:t>
      </w:r>
    </w:p>
    <w:p>
      <w:r>
        <w:t>Datasets and scenarios: construct vignette sets from MIMIC-IV (inpatient/ICU data) and synthetic outpatient/oncology records; four scenario types: (A) inpatient sepsis detection and antibiotic escalation, (B) medication dosing/interaction alerts, (C) ED chest pain disposition, (D) ICU ventilator weaning. Create 24 validated vignettes (6 per scenario) with ground-truth outcomes simulated where needed. Baselines and conditions: (1) no-explanation, (2) feature-attribution (SHAP-style), (3) calibrated-uncertainty only, (4) counterfactual-only, (5) provenance-only, (6) combined full explanation (attribution+counterfactual+uncertainty+provenance). Ablations: remove each component from full explanation; add artificial noise to explanation fidelity (e.g., perturb attribution ranks). Evaluation metrics: Trust Score (mean of 15 items), Cronbach's alpha (internal consistency), CFA fit indices (CFI, RMSEA), behavioral: acceptance rate, override rate, time-to-decision, guideline-concordant action rate; objective model metrics: Brier score, Expected Calibration Error (ECE), local fidelity (change in model output under conditional perturbation, reported as normalized Δŷ with bootstrap CI), counterfactual fidelity (% counterfactuals that flip outcome as predicted); physiological features (peak pupil dilation, fixation duration on explanation AOIs). Experimental setup: pilot n=10–15 clinicians for vignette realism and psychometrics, then main randomized study n=120–180 clinicians across 4–6 sites; physiological substudy n=30–50. Randomization: factorial design with between-subjects manipulation for heavy UI variants and within-subjects balanced vignette order using Latin squares; attention checks and washout tasks between blocks. Statistical analysis: preregistered hierarchical mixed-effects model TrustScore ~ Condition + TimePoint + Experience + Specialty + VignetteDifficulty + (1|Site) + (1|Site:Clinician) + (0+Condition|Clinician); test primary contrast full explanation vs attribution-only and vs no-explanation. Use bootstrapped/permutation CIs for fidelity metrics, multi-group CFA for invariance, and correction for multiple comparisons (FDR). Decision rules: pilot pass thresholds Cronbach's alpha ≥0.80, per-dimension alpha ≥0.70, ECE ≤0.10 (≤0.05 for high-risk scenarios), local and counterfactual fidelity ≥80% (pilot), stop rules logged for safety events in simulation.</w:t>
      </w:r>
    </w:p>
    <w:p>
      <w:r>
        <w:t xml:space="preserve"> </w:t>
      </w:r>
    </w:p>
    <w:p>
      <w:pPr>
        <w:pStyle w:val="Heading2"/>
      </w:pPr>
      <w:r>
        <w:t>Risk Factors And Limitations</w:t>
      </w:r>
    </w:p>
    <w:p>
      <w:r>
        <w:t>Technical failure modes: model miscalibration (probabilities not matching real risk), low explanation fidelity (explanations that do not reflect model behavior), and poor counterfactual plausibility. Data and evaluation biases: vignettes may not represent real case mix, site-specific practice patterns may limit generalization, and selection bias in clinician sampling. Measurement limits: Trust Score may behave ordinally or violate Gaussian assumptions; physiological signals are noisy and sensitive to environment. Statistical and power limits: high intra-site correlation (ICC) or clinician attrition can reduce power; small effect sizes (d&lt;0.2) may be undetectable. Operational and governance constraints: IRB consent for physiological sensors, PHI restrictions for embedded-EHR tests, and vendor/EHR integration barriers. Scalability: real-time fidelity checks and counterfactual generators may be compute intensive. Safety limits: explanations that increase inappropriate acceptance of incorrect recommendations (false reassurance). Generalization limits: results tied to chosen scenarios and clinician populations; findings may not transfer to other specialties or patient populations.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