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corpus_anomaly_sim2real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Multi-scale anomaly detection using validated synthetic corruptors for detecting errors in textual corpora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Incorporating validated synthetic corruptions that match real-error distributions into training increases per-class F1 on held-out real error test sets by at least 0.05 (absolute) compared to training on real-only data.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textual anomaly and error detection spans unsupervised distance-based methods (one-class classifiers, robust Mahalanobis distance), density or reconstruction models (autoencoders and variational autoencoders that reconstruct normal text), and supervised classifiers (multi-task transformers predicting error types and severity). Synthetic corruption approaches (rule-based transforms, back-translation, nearest-neighbor substitutions, and learned seq2seq corruptors) are used to produce training anomalies. Sim2real validation methods commonly include distributional comparisons (embedding distances, MMD) or classifier two-sample tests. Limitations include: (1) weak or heuristic sim2real checks without power analyses, making synthetic realism uncertain; (2) narrow modeling of multi-label, correlated error types, causing unreliable sample-size estimates; (3) thresholds and kernels chosen ad hoc without ROC/MDE (minimum detectable effect) operating curves; (4) privacy and memorization risks from learned corruptors are under-tested; and (5) annotation workflows often lack statistically-corrected multi-label power and cost-anchored decision rules for synthetic injection.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detection of diverse errors in textual corpora by combining multi-scale anomaly detectors with rigorously validated synthetic corruptors. The method trains token-, sentence-, and document-level detectors and fuses their outputs, while synthetic corruptors are calibrated to match real-error distributions via embedding- and structure-based sim2real tests (distribution tests that compare synthetic and real error examples). Main contributions are: (1) a reproducible sim2real-validation pipeline that reports effect sizes and power for chosen thresholds, (2) a utility-optimized decision rule for when to inject synthetic examples for rare error classes, and (3) an evaluation suite measuring per-label detection, calibration (how well scores match true probabilities), and sim2real gap. Expected outcome is a reproducible protocol that demonstrably reduces the detection gap on held-out real errors when validated synthetic data are used in training, while providing statistical operating curves and privacy/memorization diagnostics. This produces clear, testable acceptance criteria for deploying anomaly detectors on real-world corpora.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Pilot annotated corpus n=3000 stratified by source and error-type with gold adjudication; (2) held-out real-only test set n&gt;=1000 from disjoint sources; (3) synthetic-only test sets generated by multiple corruptors; (4) adversarial OOD sets from different domains. Baselines: one-class Mahalanobis (robust covariance), IsolationForest, Autoencoder/VAE (latent dim 32/128), rule-based detectors, and a supervised multi-task transformer (BERT-small) predicting is_anomalous, error_types (multi-label), and severity. Metrics: per-label precision/recall/F1 with bootstrap 95% CI (item-level resampling), example-level ROC-AUC, severity-weighted F1 (weights minor=1, major=2, critical=3 normalized), Expected Calibration Error (ECE) with bootstrap CI, sim2real ΔF1 (difference between synthetic-trained and real-held-out), embedding-space MMD p-values and Cohen's d effect sizes, and annotation agreement (Krippendorff’s alpha) with CI. Setup: cross-source splits strictly disjoint for train/val/test; 5 random seeds per model; containerized runs with documented hyperparameters and resource budgets; significance testing using paired bootstrap and McNemar (α=0.05) with Benjamini–Hochberg correction for multiple labels. Ablations and comparisons: (A) train supervised detectors with real-only vs real+validated-synthetic vs synthetic-only to measure sim2real ΔF1; (B) kernel sensitivity sweep for MMD (RBF bandwidth grid, linear, polynomial) and classifier two-sample tests with permutation FWER control; (C) vary synthetic-injection rates (0%, 25%, 50%, 100% of rare-class positives) and report expected ΔF1 distributions from the utility decision-rule; (D) active learning (entropy, margin, BALD) vs random sampling simulated with an annotation cost model (time-per-item, fatigue) to measure label savings and coverage. Reporting: ROC/operating curves and MDE tables for each sim2real threshold, and paired CI plots for main comparisons.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synthetic corruptors may fail to reproduce subtle real errors, creating a sim2real gap that biases detectors; kernel choices for MMD or embedding models may lack sensitivity to certain error types (kernel sensitivity). Data/evaluation biases: multi-label dependence and heterogeneous correlations can invalidate simple ESS corrections and produce over-optimistic CIs; rare classes may remain underpowered despite synthetic injection. Privacy and memorization: learned corruptors risk reproducing training text (memorization), enabling unintended extraction; DP mechanisms if applied will reduce utility. Scalability and compute: ensemble uncertainty, attribution methods (IG/SHAP), and large-kernel MMD bootstraps increase compute and may not meet low-latency SLAs. Generalization limits: detectors tuned on pilot domains may not transfer to distant domains or languages. Operational risks: drift detectors with static windows can produce false alerts under variable-rate streams; annotation costs and adjudication overhead may exceed budgets. Evaluation limits: chosen numeric thresholds have statistical uncertainty; reported operating points depend on assumed contamination models and thus may not hold under different real-world error distributions.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