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probabilistic_smooth_attention_mil</w:t>
      </w:r>
    </w:p>
    <w:p>
      <w:r>
        <w:t xml:space="preserve"> </w:t>
      </w:r>
    </w:p>
    <w:p>
      <w:pPr>
        <w:pStyle w:val="Heading2"/>
      </w:pPr>
      <w:r>
        <w:t>Title</w:t>
      </w:r>
    </w:p>
    <w:p>
      <w:r>
        <w:t>Probabilistic smooth attention with spatial priors for deep multiple instance learning on whole-slide medical images</w:t>
      </w:r>
    </w:p>
    <w:p>
      <w:r>
        <w:t xml:space="preserve"> </w:t>
      </w:r>
    </w:p>
    <w:p>
      <w:pPr>
        <w:pStyle w:val="Heading2"/>
      </w:pPr>
      <w:r>
        <w:t>Short Hypothesis</w:t>
      </w:r>
    </w:p>
    <w:p>
      <w:r>
        <w:t>Imposing a spatially correlated probabilistic prior over patch-level attention logits (versus independent or deterministic attention) will increase calibration and localization accuracy (higher IoU and pointing-game scores) and reduce predictive uncertainty error rates, without decreasing slide-level AUC on histopathology MIL tasks.</w:t>
      </w:r>
    </w:p>
    <w:p>
      <w:r>
        <w:t xml:space="preserve"> </w:t>
      </w:r>
    </w:p>
    <w:p>
      <w:pPr>
        <w:pStyle w:val="Heading2"/>
      </w:pPr>
      <w:r>
        <w:t>Related Work</w:t>
      </w:r>
    </w:p>
    <w:p>
      <w:r>
        <w:t>Multiple instance learning (MIL) for whole-slide images commonly aggregates patch embeddings with simple pooling (mean, max) or deterministic attention mechanisms (attention weights computed as functions of patch features). Prior probabilistic attention work models uncertainty in attention but typically treats patch logits as independent, so it does not encode spatial correlation between neighboring patches. Spatial priors have been used in imaging (e.g., Gaussian Markov Random Fields or Gaussian Processes) to enforce smoothness, but these have not been combined routinely with attention-based MIL at scale. Limitations of current methods: deterministic attention can be overconfident and produce noisy saliency; independent Bayesian attention misses spatial structure and can produce fragmented heatmaps; naive spatial smoothing can oversmooth and hide small lesions; full Gaussian-process priors scale poorly with many patches. These gaps motivate a scalable probabilistic attention model that encodes spatial correlation while retaining tractable inference.</w:t>
      </w:r>
    </w:p>
    <w:p>
      <w:r>
        <w:t xml:space="preserve"> </w:t>
      </w:r>
    </w:p>
    <w:p>
      <w:pPr>
        <w:pStyle w:val="Heading2"/>
      </w:pPr>
      <w:r>
        <w:t>Abstract</w:t>
      </w:r>
    </w:p>
    <w:p>
      <w:r>
        <w:t>We propose a probabilistic attention mechanism for deep multiple instance learning (MIL) in whole-slide medical imaging that models patch-level attention logits as a spatially correlated random field. Each slide is represented by CNN patch embeddings; attention logits are latent Gaussian variables with a spatial smoothness prior (e.g., sparse Gaussian process or conditional autoregressive model) that encodes proximity between patches (nearby patches likely have similar attention). A variational posterior (reparameterized logistic-normal) is learned per bag and attention weights are produced by a softmax on sampled logits. The model is trained by maximizing an evidence lower bound (ELBO) using Monte Carlo reparameterization and an analytic or sparse KL term. Expected outcomes: more coherent and interpretable attention maps, better-calibrated predictive probabilities, improved localization metrics, and quantified attention uncertainty. The contribution is a practical, scalable probabilistic attention framework that explicitly models spatial correlation for improved interpretability and uncertainty in clinical MIL tasks.</w:t>
      </w:r>
    </w:p>
    <w:p>
      <w:r>
        <w:t xml:space="preserve"> </w:t>
      </w:r>
    </w:p>
    <w:p>
      <w:pPr>
        <w:pStyle w:val="Heading2"/>
      </w:pPr>
      <w:r>
        <w:t>Experiments</w:t>
      </w:r>
    </w:p>
    <w:p>
      <w:r>
        <w:t>Datasets: Camelyon16 (use official 270-train / 130-test; perform 5-fold patient-wise CV on training folds) and a curated TCGA subset (~700 train / 150 val / 150 test) stratified by center and tumor subtype. Baselines: mean pooling, max pooling, deterministic attention (Ilse-style), Bayesian attention with independent (diagonal) variational posterior (no spatial prior), attention with simple total-variation smoothing. Proposed variants: diag-Gaussian + CAR prior, diag-Gaussian + sparse GP prior (inducing points), low-rank posterior variants, and mixture smooth+spike prior. Ablation: prior type (CAR vs sparse GP), smoothness strength grid, variational family (diagonal vs low-rank), inducing point counts {50,100,250}, and MC sample counts S in {8,16,32}. Model/Training: ResNet-18 backbone pretrained on ImageNet; patch size and overlap tuned on validation; variational posterior μ_q and logσ_q from a small MLP on embeddings plus spatial features; ELBO optimization with KL annealing and gradient clipping; center logits before softmax for numeric stability; run 5 random seeds per configuration. Evaluation metrics: slide AUC, specificity at 95% sensitivity, accuracy, F1; calibration: ECE (fixed binning 15 bins) and Brier score; localization: IoU (patch-level mask) and pointing-game top-1 and top-5; uncertainty: AUROC for error detection (uncertainty vs misclassification), predictive entropy, negative log-likelihood; compute: runtime and peak memory per run. Statistical tests and validation: use cluster-aware bootstrap (stratified by patient and center) for CIs (5,000 resamples), pre-register primary test choice by data structure (cluster-Delong if independence holds at slide level, otherwise cluster-robust bootstrap), lock threshold selection via nested CV (inner fold selects threshold by maximizing IoU on validation and is held fixed for outer test). Report training ELBO and endpoint curves. Primary ablation compare diag-Gaussian+CAR vs deterministic attention on all metrics.</w:t>
      </w:r>
    </w:p>
    <w:p>
      <w:r>
        <w:t xml:space="preserve"> </w:t>
      </w:r>
    </w:p>
    <w:p>
      <w:pPr>
        <w:pStyle w:val="Heading2"/>
      </w:pPr>
      <w:r>
        <w:t>Risk Factors And Limitations</w:t>
      </w:r>
    </w:p>
    <w:p>
      <w:r>
        <w:t>1) Over-smoothing: a strong spatial prior can suppress small lesions; detection of tiny metastases may degrade. 2) Scalability: full GP priors scale O(N^3) with patches; sparse GP or CAR approximations are needed and may approximate posterior poorly if misconfigured. 3) ELBO variance: Monte Carlo estimator noise can slow training; larger S or variance reduction may be required, increasing compute. 4) Clustered data: slides cluster by patient and center; standard AUC variance formulas may be invalid, requiring cluster-aware tests and larger sample sizes. 5) Small-center limits: bootstrap over centers is unstable when few centers (&lt;10); hierarchical Bayesian or patient-level bootstrap may be needed. 6) CAR identifiability and conditioning: precision matrices require sum-to-zero or soft constraints and careful border handling to remain positive-definite. 7) Threshold sensitivity: localization metrics depend on threshold and patch size; threshold selection must avoid validation leakage and may still bias results. 8) Reproducibility: full determinism is hard across GPUs and driver versions; exact environment pins and run logs are required. 9) Annotation bias: pathologist polygon quality and inter-reader variability limit localization ground truth and metric interpretation. 10) Generalization: models trained on specific scanners or stains may not transfer without stain normalization or domain tests.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