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xai_mri_readerdesign_pilot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Simulation-driven mixed-effects reader-study design and clinical validation of concept-based explainable AI for lesion localization on brain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fidelity-validated, radiologist-defined concept explanations together with AI predictions causes neuroradiologists to increase lesion localization overlap by at least 15 percentage points compared to AI predictions alone in a partially-crossed reader study.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post-hoc saliency maps (pixel/voxel importance), concept-based methods (e.g., TCAV which tests concept sensitivity), concept-bottleneck models that predict human-interpretable features, and fidelity metrics such as deletion/insertion curves that measure if explanations affect model outputs. Prior MRI and medical-imaging reader studies mainly evaluate accuracy or segmentation without jointly validating explanations against radiologic features or with robust multi-site sampling. Limitations are: saliency maps are often noisy and poorly localized; TCAV depends on curated concept exemplars and can be unstable; many studies lack multi-reader mixed-effects analysis, do not account for carryover or reader fatigue, and omit rigorous adversarial or protocol-shift testing. There is also weak linkage between XAI metric thresholds and clinical outcomes, sparse annotation QC procedures for per-lesion concepts, and few reproducible power simulations for reader studies under realistic ICCs and crossover designs.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gap between technical explainability and clinical value for brain MRI by designing and validating concept-based XAI explanations within a rigorously powered reader-study framework. Our approach combines: (1) a multi-task MRI model with a radiologist-curated concept head that outputs localized concept maps (e.g., enhancement, edema), (2) fidelity validation using deletion/insertion curves and localization overlap against consensus annotations, and (3) a simulation-driven mixed-effects reader-study design that balances statistical power and per-reader workload via a partially-crossed allocation. Main contribution: a reproducible experimental pipeline that ties predefined XAI thresholds (localization overlap, TCAV, insertion/deletion AUC, calibration) to measurable changes in neuroradiologist performance and management decisions. Expected outcome: empirical evidence whether concept-based, fidelity-validated explanations causally improve localization and decision-making versus AI-only and saliency baselines, with clear feasibility estimates for realistic reader schedules and pre-registered analysis code.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multi-site brain MRI collection (≥5 hospitals, GE/Siemens/Philips/Toshiba), 3T and 1.5T, total held-out pool 600 cases stratified by pathology (tumor, stroke, infection, demyelination, postop, normal) and lesion size; each case annotated by ≥3 neuroradiologists with consensus masks via STAPLE and labeled concepts (ring enhancement, edema, diffusion restriction, hemorrhage). Pilot: 3 readers × 50 cases to estimate ICC, time-per-case, and fatigue decay (seed=12345). Main reader study: partially-crossed design with 24 readers and 600 cases; 3 arms (unaided, AI-only, AI+concept-explanations); each case read by 6 readers; each reader reads 150 cases balanced across arms in 3 sessions (50 cases/session). Baselines: unaided human read; AI-only predictions; AI+saliency (gradCAM-like); AI+concept-based explanations. Model variants for ablation: (A) multi-task + concept-bottleneck head, (B) multi-task without concept head, (C) same models with and without uncertainty-gating. Metrics: primary—detection AUC and localization overlap (percent of explanation heatmap overlapping consensus lesion mask); secondary—segmentation Dice, insertion/deletion AUC, TCAV (concept alignment, 0-1), ECE (expected calibration error), reading time, change-in-management rate. Statistical analysis: pre-registered mixed-effects logistic regression for detection: logit(P_ijk)=β0+β1*Arm+β2*Period+β3*Carryover+u_reader_j+u_case_k, with random intercepts u_reader_j ~ N(0,σ_r^2) and u_case_k ~ N(0,σ_c^2); linear mixed model for continuous overlap: overlap_ijk=γ0+γ1*Arm+γ2*Period+γ3*Carryover+v_reader_j+v_case_k+ϵ. Multiplicity: hierarchical testing (primary AUC then overlap) and Holm adjustment for secondary endpoints. Power sims: scenarios ICC∈{0.05,0.10,0.15}, readers∈{12,24}, effect sizes for overlap Δ∈{0.10,0.15,0.20}; deliver R scripts (seed=12345). Comparisons/ablations: (1) saliency vs concept explanations, (2) concept-bottleneck vs no-concept model, (3) with vs without uncertainty gating, (4) fully-crossed vs partially-crossed design via simulation to quantify power and per-reader burden tradeoffs. Pre-specified pass threshold for hypothesis: increase in mean localization overlap ≥15 percentage points with p&lt;0.05 under mixed-effects model.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variability: consensus masks may still disagree, especially for lesions &lt;5 mm; uncertain labels can reduce power. Reader burden and fatigue: even a partially-crossed design requires many reads per reader and may bias results if fatigue is underestimated. Carryover effects: explanations may teach readers across periods despite washout, complicating causal inference. Metric limitations: TCAV and saliency have instability and depend on exemplar curation; insertion/deletion metrics can be sensitive to masking strategy. Domain shift: model and explanation robustness may break across vendors, field strengths, and protocols, limiting generalization. Adversarial/perturbation calibration: choosing perceptual thresholds (SSIM/PSNR) that map to clinically plausible changes is subjective. Subgroup power: some demographic or vendor strata may be underpowered to detect a 5% fairness gap. Compute and time costs: multi-site annotation, multi-model ensembles, and reader studies require substantial compute and clinician time. Regulatory and data-sharing limits: PHI restrictions may prevent full public release of raw data and hinder external reproducibility.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