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super_net_uncertainty</w:t>
      </w:r>
    </w:p>
    <w:p>
      <w:r>
        <w:t xml:space="preserve"> </w:t>
      </w:r>
    </w:p>
    <w:p>
      <w:pPr>
        <w:pStyle w:val="Heading2"/>
      </w:pPr>
      <w:r>
        <w:t>Title</w:t>
      </w:r>
    </w:p>
    <w:p>
      <w:r>
        <w:t>Precision-weighted uncertainty propagation in encoder-decoder networks for image segmentation</w:t>
      </w:r>
    </w:p>
    <w:p>
      <w:r>
        <w:t xml:space="preserve"> </w:t>
      </w:r>
    </w:p>
    <w:p>
      <w:pPr>
        <w:pStyle w:val="Heading2"/>
      </w:pPr>
      <w:r>
        <w:t>Short Hypothesis</w:t>
      </w:r>
    </w:p>
    <w:p>
      <w:r>
        <w:t>Propagating per-feature Gaussian summaries (mean and diagonal variance) through encoder-decoder skip connections and fusing encoder and decoder beliefs with precision-weighted updates plus stochastic reparameterization will reduce predictive negative log-likelihood by &gt;=0.03 nats/pixel and reduce expected calibration error by &gt;=0.5 percentage points, while maintaining or improving IoU by &gt;=1.5 percentage points versus deterministic UNet and aleatoric-only baselines on Cityscapes-like segmentation tasks.</w:t>
      </w:r>
    </w:p>
    <w:p>
      <w:r>
        <w:t xml:space="preserve"> </w:t>
      </w:r>
    </w:p>
    <w:p>
      <w:pPr>
        <w:pStyle w:val="Heading2"/>
      </w:pPr>
      <w:r>
        <w:t>Related Work</w:t>
      </w:r>
    </w:p>
    <w:p>
      <w:r>
        <w:t>Existing segmentation methods include deterministic encoder-decoder networks (e.g., UNet) that produce point logits, heteroscedastic heads that predict per-pixel aleatoric variance, and epistemic methods such as MC dropout and deep ensembles that approximate model uncertainty. Conditional variational autoencoders (CVAE) and latent bottleneck models capture global context but rarely propagate per-feature uncertainty across skip connections. Structured covariance models (low-rank or full covariance) and Woodbury-based solvers have been proposed for tractable correlated uncertainty but are expensive and rarely integrated into dense segmentation pipelines. Limitations: (1) Most pipelines do not carry per-feature uncertainty through the full encoder–decoder path, so skip connections discard uncertainty information; (2) Aleatoric and epistemic effects are often treated separately without a unified propagation/fusion mechanism; (3) Full covariance is computationally heavy for high-resolution maps, and practical low-rank implementations lack standard, reproducible integration patterns in encoder-decoder nets; (4) Calibration procedures (temperature scaling, Dirichlet calibration) are typically post-hoc rather than coupled to feature-level uncertainty propagation.</w:t>
      </w:r>
    </w:p>
    <w:p>
      <w:r>
        <w:t xml:space="preserve"> </w:t>
      </w:r>
    </w:p>
    <w:p>
      <w:pPr>
        <w:pStyle w:val="Heading2"/>
      </w:pPr>
      <w:r>
        <w:t>Abstract</w:t>
      </w:r>
    </w:p>
    <w:p>
      <w:r>
        <w:t>We study a principled method to propagate uncertainty through encoder–decoder segmentation networks by representing each intermediate feature map as a Gaussian summary (per-channel mean and variance) and fusing encoder and decoder beliefs at skip connections with precision-weighted updates. The method optionally samples reparameterized features for stochastic propagation and conditions the decoder on hierarchical latent bottlenecks to capture global uncertainty. Key contributions are: (i) a tractable design that stores diagonal variances per channel with optional low-rank bottleneck factors, (ii) an uncertainty propagation block that performs numerically stable precision-sum fusion, and (iii) probabilistic decoder heads that output Gaussian logits for negative log-likelihood training and calibration-aware evaluation. Expected outcomes are improved predictive likelihood, better-calibrated probabilities, and enhanced error detection via uncertainty maps, with measured compute/memory trade-offs. This approach enables a unified treatment of aleatoric (data) and epistemic (model) uncertainty in dense segmentation while remaining scalable to high-resolution tasks.</w:t>
      </w:r>
    </w:p>
    <w:p>
      <w:r>
        <w:t xml:space="preserve"> </w:t>
      </w:r>
    </w:p>
    <w:p>
      <w:pPr>
        <w:pStyle w:val="Heading2"/>
      </w:pPr>
      <w:r>
        <w:t>Experiments</w:t>
      </w:r>
    </w:p>
    <w:p>
      <w:r>
        <w:t>Datasets: Cityscapes (primary prototype), Cityscapes→Dark Zurich/Vistas for OOD/domain-shift; BraTS and ISIC subsets for medical evaluation. Baselines: (A) deterministic UNet, (B) UNet + variance heads (aleatoric-only), (C) UNet + MC dropout (epistemic-only), (D) deep ensemble baseline (3 models). Proposed variants: Super-Net A (precision-weighted skips, no sampling), Super-Net B (stochastic skips with reparameterization, single-sample training), Super-Net C (hierarchical latent bottlenecks + probabilistic decoder). Covariance ablations: diagonal everywhere, low-rank bottleneck with r in {4,8,16,32}, tiny full-cov probe on cropped patches. Training: optimizer AdamW, lr 1e-4, batch size 8–16 (full-res) or 32 (patches), gradient clip 1.0. MC sampling: K_train=4, K_eval=64 (or 128 for final reporting). Losses: Monte Carlo marginal NLL (log-sum-exp over K samples), auxiliary heteroscedastic regularizer with λ ∈ {1e-4,1e-3,1e-2}. Metrics: mean IoU / Dice, NLL (nats/pixel), Brier score, multiclass CRPS, Expected Calibration Error (ECE) global and per-class, AUROC/AUPR for error detection using uncertainty maps, inference time (s/img), peak GPU memory. Ablations: fusion method (precision-weighted vs concat), covariance type (diag vs low-rank), sampling (no sampling vs stochastic skips), number of latents, K sensitivity. OOD tests: synthetic perturbations (Gaussian noise SNR {20,10,5}, Gaussian blur σ={1,3,6} pixels, JPEG compression quality {90,70,50}), and curated Dark Zurich/night images. Statistical protocol: run 3–5 random seeds per setting; report mean ±95% bootstrap CI over images (1000 resamples); use paired Wilcoxon signed-rank test for per-image comparisons; control multiple comparisons via Benjamini–Hochberg FDR. Unit tests and diagnostics: precision-sum consistency checks (||μ_post - analytic||&lt;1e-6), variance bounds (min 1e-6, max 1e3), Woodbury conditioning logs, and gradient-norm monitoring during training.</w:t>
      </w:r>
    </w:p>
    <w:p>
      <w:r>
        <w:t xml:space="preserve"> </w:t>
      </w:r>
    </w:p>
    <w:p>
      <w:pPr>
        <w:pStyle w:val="Heading2"/>
      </w:pPr>
      <w:r>
        <w:t>Risk Factors And Limitations</w:t>
      </w:r>
    </w:p>
    <w:p>
      <w:r>
        <w:t>Numerical instability: low-rank Woodbury solvers can be ill-conditioned (large condition numbers) causing inaccurate precision sums or failed linear solves. Finite-MC bias: Monte Carlo marginalization of softmax probabilities is biased for small K, which can affect NLL and gradients. Compute and memory overhead: storing per-channel variances and running MC samples increases GPU memory and inference time relative to deterministic baselines, limiting real-time use. Scalability limits: full covariance is infeasible at high resolution; low-rank approximations may not capture all correlations. Dataset and evaluation biases: OOD and ambiguity proxies (synthetic perturbations, multi-annotator surrogates) may not reflect real-world clinical ambiguity. Statistical power: detecting small IoU/NLL/ECE improvements requires adequate image counts and seeds; small datasets may yield inconclusive results. Generalization: gains on Cityscapes may not transfer to all domains, especially medical imaging with different noise characteristics. Gradient issues: learned variances may collapse to zeros or explode without careful regularization, affecting training stability.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