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scale_aware_asnet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Scale-aware adaptive supervised network for segmentation of multi-scale medical structures with limited annotations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For medical image segmentation with limited annotations, integrating a learnable scale-attention module with an epoch- and size-adaptive pseudo-label acceptance rule will increase small-object Dice score by at least 2 percentage points relative to a state-of-the-art semi-supervised baseline using the same annotation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address multi-scale segmentation with feature pyramids, atrous spatial pyramid pooling (ASPP), Feature Pyramid Networks (FPN/BiFPN), deformable convolutions, and attention modules to fuse features from multiple receptive fields. Semi-supervised approaches commonly use Mean Teacher, pseudo-labeling with fixed confidence thresholds, and uncertainty estimation (MC-dropout or ensembles) to accept or reject pseudo-labels. Self-supervised pretraining (contrastive learning, masked image modeling) has been used to improve encoder representations from unlabeled medical data. Weak supervision methods convert sparse scribbles/points to dense masks using CRF or region proposals. Active learning methods combine uncertainty and diversity sampling to select samples for annotation. Limitations: (1) many architectures fuse multi-scale features heuristically without a learned per-image, per-location scale selection mechanism; (2) pseudo-label acceptance typically uses global thresholds that bias against small objects and increase false negatives for small lesions; (3) pipelines often lack formal, epoch-aware pseudo-label rules and size-weighted losses; (4) evaluations rarely report stratified metrics by object size, limiting assessment of small-structure performance.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Medical image segmentation must detect and delineate structures that vary widely in size while labeled data are costly. We present a Scale-Aware Adaptive Supervised Network (SA-ASNet) that combines explicit multi-scale representation branches, a learnable Scale Attention Module (SAM) that gates per-scale features, gated BiFPN-like fusion with cross-attention, and a boundary-refinement decoder to preserve edges. Supervision is label-efficient: an encoder is pretrained with self-supervised learning, then a Mean Teacher semi-supervised stage uses uncertainty-aware pseudo-labeling where an epoch- and size-adaptive threshold κ(A,e) requires higher teacher confidence for smaller components. The training objective mixes size-weighted Dice + BCE, a boundary loss, feature-level contrastive loss, and a ramped consistency term for pseudo-labels. Main contributions are a formal SAM for per-scale, context-conditioned fusion; a provable epoch- and size-aware pseudo-label acceptance rule; and a reproducible training recipe. Expected outcome: improved detection and segmentation accuracy—especially for small objects—under constrained annotation budgets, measured by size-stratified Dice, sensitivity, and boundary metrics.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ACDC (cardiac MR), BraTS (brain tumor MR), LiTS (liver CT), PROMISE12 (prostate MR). For each dataset use available train/val/test splits or stratified 70/15/15 splits by site when unavailable. Fixed seeds: {42,7,2024}. Baselines: nnU-Net, UNet3D, Swin-UNETR, BiFPN-fused EfficientUNet, and a Mean Teacher UNet with vanilla pseudo-labeling. Metrics: per-volume and per-object Dice, IoU, HD95 (95th percentile Hausdorff distance), sensitivity (recall), positive predictive value (precision), Expected Calibration Error (ECE), Brier score, and decision-curve analysis; report metrics stratified by object-size bins (small, medium, large). Size bins: small &lt; 32 voxels / equivalent mm^2 threshold converted from spacing, medium 32–1024 voxels, large &gt; 1024 voxels; conversion helpers read image spacing metadata. Training setup: two-stage pipeline. Stage 1: self-supervised encoder pretraining (masked image modeling or contrastive) on unlabeled pool for 200 epochs default. Stage 2: semi-supervised segmentation using Mean Teacher with EMA teacher decay 0.999, AdamW optimizer lr=1e-4 base, cosine decay, gradient-accumulation to effective batch sizes (3D effective batch 8). Pseudo-label acceptance: use κ(Ac,e)=p_base(e)+κ_size*(1−min(Ac/A_ref,1)), with default p_base(e)=0.60→0.95 (η=12 epochs), κ_size=0.15, A_min=max(20 voxels,1 mm^2), A_ref per dataset (table of conversions provided in utils). Pseudo-label loss coefficient λ_cons ramps with sigmoid schedule to λ_cons_max. Uncertainty: compute MC-dropout T=8 for entropy and use ensemble of last N=5 EMA checkpoints (soft probability average) for pseudo-label scoring. Ablations (pre-registered exact configs): (A1) full model (SAM + size-aware κ), (A2) remove SAM (uniform fusion), (A3) SAM with fixed temperature (no learned temperature), (A4) no self-supervised pretraining, (A5) no pseudo-labels (supervised-only on labeled subset), (A6) naive fixed-threshold pseudo-labeling. Active learning experiment: simulate annotation rounds with acquisition Score=0.5*uncertainty+0.3*representativeness+0.2*size-priority, batch B=50 volumes/round, recompute embeddings each round. Statistical plan: primary endpoint = Dice on small-object bin; use paired Wilcoxon signed-rank test vs best baseline (normality test first), Benjamini-Hochberg FDR 0.05 for multiplicity across bins/ablations; power target: detect 2% absolute Dice change with SD≈5% → n≈80 volumes per comparison. Reproducibility: Docker image, pinned dependencies, deterministic flags documented; checkpoints saved every 2 epochs; report FLOPs, parameter counts, median and 95th percentile inference latency on A100 or comparable GPU. Report per-seed results and bootstrap 95%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pseudo-label confirmation bias if teacher is overconfident, leading to degraded student performance; SAM may collapse to a single scale if regularization and temperature are mis-set. Data and evaluation biases: small-object statistics may be sparse, reducing power and making per-bin estimates noisy; dataset spacing variation requires careful conversion between voxels and mm^2 and mistakes create threshold mismatches. Scalability and compute: self-supervised pretraining and ensembling increase GPU-hours and memory; 3D training with multi-scale branches may not fit single GPUs for large volumes. Determinism limits: fully deterministic runs may be impossible for some cuDNN ops; small nondeterminism can affect exact reproducibility. Generalization limits: models tuned on public datasets may not generalize to different scanners, institutions, or patient demographics; fairness across subgroups must be assessed separately. Operational risks: human-in-the-loop review of uncertain pseudo-labels adds annotation time and may bias selections. Statistical risks: small sample sizes in tails (very small lesions) can produce high variance and unstable effect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