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mbw_net_ultrasound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long ultrasound video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multi-scale memory bank with temporal discrete wavelet decomposition into a video segmentation network will reduce frame-to-frame IoU variance by at least 15% and increase mean Dice by at least 2 percentage points compared to a spatial-only UNet on the same long ultrasound sequences.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ultrasound video segmentation focus on either spatial modeling per frame (UNet and HRNet variants) or simple temporal modeling (ConvLSTM, short-window temporal convolutions). Memory-based video segmentation methods store and retrieve past features to provide long-range context but often scale poorly with long sequences, grow memory linearly, or use dense writes that raise compute cost. Recent long-video segmentation approaches (MemoryNet, DynaSeg) improve temporal coherence but do not explicitly separate slow anatomical signals from transient artifacts. Temporal smoothing or optical-flow-based consistency losses reduce flicker but can blur anatomical detail. None of the standard baselines jointly address (1) long-range context with bounded memory growth, (2) explicit frequency separation of temporal signals (low vs high frequency), and (3) per-frequency, per-scale fusion with lightweight compute budgets.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Long ultrasound videos require segmentation that is both spatially accurate and temporally stable. We propose an approach that combines a fixed-capacity, multi-scale memory bank (a stored set of past feature maps) with a temporal discrete wavelet transform (DWT) applied along feature timelines to separate slowly varying anatomical signals (low-frequency) from transient artifacts and motion (high-frequency). The model retrieves compact memory values with sparse writes and attention-based readout, fuses retrieved context with current features in a wavelet-aware head, and enforces temporal and frequency regularizers during training. Main contribution: a reproducible architecture that explicitly disentangles temporal frequency bands while bounding memory growth, enabling improved long-range consistency with constrained compute. Expected outcome: reduced frame-to-frame jitter and modest gains in per-frame segmentation accuracy on long ultrasound sequences, with controlled inference latency suitable for near real-time use in clinical pipelines.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internal long ultrasound collections: cardiac echocardiography (N=200 cases, 50–200 frames each), liver/thyroid sequences (N=150), obstetric sequences (N=150); public cardiac dataset CAMUS for external comparison where applicable. Splits: patient-level stratified 70/15/15 train/val/test, reserve at least one held-out scanner/site for external test. Baselines: spatial-only UNet, HRNet, ConvLSTM (temporal recurrent), MemoryNet, DynaSeg. Metrics: Dice coefficient, IoU, Hausdorff distance (boundary error), framewise IoU variance, flicker index = mean|IoU_t - IoU_{t+1}|, inference latency (ms/frame), GPU memory (GB). Training setup: pretrain backbone on static frames, fine-tune full model on sequences with sliding windows of length T ∈ {16,32,64}, batch-size tuned to memory, optimizer AdamW lr=1e-4 with cosine decay, mixed precision, gradient checkpointing. Losses: weighted Dice + cross-entropy, temporal consistency loss (L2 between prediction and motion-warped previous prediction), frequency regularizer enforcing LF stability; optional boundary loss. Ablations: (A) full model vs spatial-only UNet and ConvLSTM; (B) wavelet module on vs off; (C) memory bank on vs off and policies FIFO vs importance sampling vs EMA sparse update; (D) wavelet depth 1/2/3 and mother wavelet Haar vs db4; (E) retrieval: attention vs concatenation vs average pooling; (F) loss ablations removing temporal consistency and frequency regularizer. Protocol: run each main config with 5 random seeds, report mean±CI, perform paired statistical tests on Dice and flicker index, and report per-site results on held-out scanners. Profiling: measure time breakdown (preprocessing, DWT, memory retrieval, fusion, decoder) for batch=1 on target hardware (A100) and report FLOPs and memory.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bias and interpolation: sparse keyframe labeling (every 5 frames) may introduce interpolation errors that bias temporal metrics. Domain generalization: models trained on a limited set of scanners or presets may underperform on unseen vendors or acquisition settings. Compute and latency: memory bank and attention may exceed target latency or memory on edge hardware; top-k retrieval and bounded M may still be too costly for strict real-time requirements. DWT limits: wavelet boundary artifacts and choice of mother wavelet may degrade reconstruction of temporal signals for some anatomies. Memory scaling: fixed-capacity memory may miss rare but clinically important events if write policy is too sparse. Evaluation bias: per-sequence correlation (intra-subject autocorrelation) can invalidate naive sample-size calculations if not accounted for. Regulatory and data governance: multi-site data aggregation requires IRB approvals and consistent anonymization, which may limit external validation. Non-determinism: GPU backend and multi-GPU operations can cause run-to-run variability in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