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disentangled_anatomy_mri_ad</w:t>
      </w:r>
    </w:p>
    <w:p>
      <w:r>
        <w:t xml:space="preserve"> </w:t>
      </w:r>
    </w:p>
    <w:p>
      <w:pPr>
        <w:pStyle w:val="Heading2"/>
      </w:pPr>
      <w:r>
        <w:t>Title</w:t>
      </w:r>
    </w:p>
    <w:p>
      <w:r>
        <w:t>Unsupervised anomaly detection in brain MRI using disentangled anatomy and pathology representation learning</w:t>
      </w:r>
    </w:p>
    <w:p>
      <w:r>
        <w:t xml:space="preserve"> </w:t>
      </w:r>
    </w:p>
    <w:p>
      <w:pPr>
        <w:pStyle w:val="Heading2"/>
      </w:pPr>
      <w:r>
        <w:t>Short Hypothesis</w:t>
      </w:r>
    </w:p>
    <w:p>
      <w:r>
        <w:t>A two-branch variational autoencoder that disentangles anatomy and pathology latents and enforces site-invariance for the anatomy latent will produce higher cross-site lesion detection AUROC on held-out sites than a baseline VAE without disentanglement or domain-adversary.</w:t>
      </w:r>
    </w:p>
    <w:p>
      <w:r>
        <w:t xml:space="preserve"> </w:t>
      </w:r>
    </w:p>
    <w:p>
      <w:pPr>
        <w:pStyle w:val="Heading2"/>
      </w:pPr>
      <w:r>
        <w:t>Related Work</w:t>
      </w:r>
    </w:p>
    <w:p>
      <w:r>
        <w:t>Unsupervised anomaly detection in medical imaging has used reconstruction models (autoencoders, VAEs) and generative models (GANs, flows, diffusion) to flag images that differ from learned normal patterns. Disentangled representation methods aim to split factors such as anatomy and pathology into separate latent codes to improve interpretability; however, prior work often leaks pathology into the anatomy code, reducing localization quality. Domain adaptation and harmonization approaches (statistical methods like ComBat, adversarial alignment, and image-to-image translation) address scanner/site shifts but can alter pathology appearance or fail on unseen scanners. Evaluation practices vary: many studies tune and evaluate on similar-site data, causing optimistic results and limited reproducibility. Uncertainty estimation and calibration are frequently under-specified, and public benchmarks for multi-site unsupervised lesion detection with held-out-site tests are lacking.</w:t>
      </w:r>
    </w:p>
    <w:p>
      <w:r>
        <w:t xml:space="preserve"> </w:t>
      </w:r>
    </w:p>
    <w:p>
      <w:pPr>
        <w:pStyle w:val="Heading2"/>
      </w:pPr>
      <w:r>
        <w:t>Abstract</w:t>
      </w:r>
    </w:p>
    <w:p>
      <w:r>
        <w:t>We propose an unsupervised method for detecting anomalies in brain MRI by learning separate representations for anatomy and pathology. The model is a two-branch variational autoencoder where one latent code models stable anatomical structure and a second sparse latent captures deviations consistent with pathology. The anatomy latent is trained to be site-invariant using an adversarial site classifier, and an atlas-guided prior improves realistic normal reconstructions. We combine voxel-wise reconstruction residuals, pathology-latent magnitude, and calibrated model uncertainty into a single anomaly score. The main contribution is a reproducible pipeline that (1) enforces true disentanglement between anatomy and pathology, (2) evaluates cross-site generalization with held-out-site tests and realistic synthetic domain shifts, and (3) pre-registers statistical endpoints for lesion detection and localization. We expect improved cross-site lesion detection, better localization of subtle abnormalities, and well-calibrated anomaly scores compared to baseline unsupervised methods.</w:t>
      </w:r>
    </w:p>
    <w:p>
      <w:r>
        <w:t xml:space="preserve"> </w:t>
      </w:r>
    </w:p>
    <w:p>
      <w:pPr>
        <w:pStyle w:val="Heading2"/>
      </w:pPr>
      <w:r>
        <w:t>Experiments</w:t>
      </w:r>
    </w:p>
    <w:p>
      <w:r>
        <w:t>Datasets: training (pathology-free) from multi-site collections: ADNI, OASIS, IXI, UKB subset, ABIDE; synthetic lesion seeds from BraTS and MS atlases used only for validation and calibration; external held-out test sites (at least 2 sites not in training) and a clinical annotated test set with multi-rater labels covering ischemic stroke, microbleeds, tumors, and cortical dysplasia. Baselines: (1) baseline VAE (single latent), (2) beta-VAE / FactorVAE (TC penalty), (3) two-branch VAE without adversary, (4) two-branch VAE + domain-adversary (proposed), (5) flow-based model (RealNVP/Glow) anomaly score, (6) diffusion-model anomaly (DDPM) score, (7) patch-AE and PatchCore one-class classifier on learned features. Metrics: cross-site AUROC and AUPRC (scan-level), lesion-wise FROC at operating points 1/3/5 false positives per scan, lesion-wise sensitivity stratified by size (&lt;50 mm^3, 50–500 mm^3, &gt;500 mm^3), voxel Dice, expected calibration error (ECE), false positives per volume, disentanglement metrics (MIG, DCI, SAP), site-prediction AUC on anatomy latent, and mutual information estimates between latents and site. Experimental setup: pre-registered nested cross-validation: inner loop for hyperparameter tuning on a pilot set (N=200 stratified by site/age/sex), outer loop = leave-one-site-out (LOSO) folds across all training sites; final test on fully held-out external sites and temporal hold-out; strictly use synthetic anomalies only for validation/calibration, never in training. Ablations: remove adversary, remove atlas prior, vary z_A/z_P dims (e.g., 64/8, 32/8, 16/16), sparsity on z_P (L1 vs spike-and-slab), uncertainty methods (deep ensembles n=5, MC dropout with 30 samples, evidential networks) and fusion weights in score = w1·norm(MSE_voxel)+w2·norm(||z_P||_2)+w3·norm(uncertainty). Statistical analysis: primary family tests (cross-site AUROC, FROC@3FP, ECE) with Holm-Bonferroni correction; CIs by clustered bootstrap over cases and sites; preregistered success thresholds and adaptive sample-size re-estimation rules based on observed ICC.</w:t>
      </w:r>
    </w:p>
    <w:p>
      <w:r>
        <w:t xml:space="preserve"> </w:t>
      </w:r>
    </w:p>
    <w:p>
      <w:pPr>
        <w:pStyle w:val="Heading2"/>
      </w:pPr>
      <w:r>
        <w:t>Risk Factors And Limitations</w:t>
      </w:r>
    </w:p>
    <w:p>
      <w:r>
        <w:t>Label leakage: tuning on held-out lesion cases can leak information; strict nested CV and fully external tests are required but still may be misused. Adversary harms pathology: forcing site-invariance may remove subtle pathology correlated with site; adversary may reduce sensitivity. Synthetic anomalies mismatch: synthetic lesions may not capture real lesion heterogeneity, limiting generalization. Annotation noise: multi-rater variability (low kappa) reduces statistical power and complicates evaluation. Harmonization risks: methods like ComBat or image translation can alter lesion contrast and reduce detectability. Computational cost: training many ablations and ensembles is expensive (hundreds of GPU-hours). Limited modalities: approach depends on availability of consistent contrasts (T1/FLAIR); results may not generalize to other sequences. Preprocessing errors: skull-stripping, registration, or defacing failures create false positives. Hyperparameter selection bias: large search budgets risk optimistic selection; capping trials and nested selection are necessary but reduce exploration. Domain coverage: unseen scanner/sequence types beyond held-out sites may still break model performance.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