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lctfound_multisite_3d</w:t>
      </w:r>
    </w:p>
    <w:p>
      <w:r>
        <w:t xml:space="preserve"> </w:t>
      </w:r>
    </w:p>
    <w:p>
      <w:pPr>
        <w:pStyle w:val="Heading2"/>
      </w:pPr>
      <w:r>
        <w:t>Title</w:t>
      </w:r>
    </w:p>
    <w:p>
      <w:r>
        <w:t>Physics-informed multi-task 3D transformer model for lung CT nodule detection, parenchymal pattern classification, segmentation, and volumetry</w:t>
      </w:r>
    </w:p>
    <w:p>
      <w:r>
        <w:t xml:space="preserve"> </w:t>
      </w:r>
    </w:p>
    <w:p>
      <w:pPr>
        <w:pStyle w:val="Heading2"/>
      </w:pPr>
      <w:r>
        <w:t>Short Hypothesis</w:t>
      </w:r>
    </w:p>
    <w:p>
      <w:r>
        <w:t>A physics-informed preprocessing pipeline combined with multi-task pretraining of a multi-scale 3D transformer and domain-adaptive normalization will increase cross-site per-lesion sensitivity for nodules (≥6 mm) to ≥95% and reduce nodule volumetric mean absolute error to ≤15% on external multi-center validation, compared to an equivalent model trained without physics-informed preprocessing and domain adaptation.</w:t>
      </w:r>
    </w:p>
    <w:p>
      <w:r>
        <w:t xml:space="preserve"> </w:t>
      </w:r>
    </w:p>
    <w:p>
      <w:pPr>
        <w:pStyle w:val="Heading2"/>
      </w:pPr>
      <w:r>
        <w:t>Related Work</w:t>
      </w:r>
    </w:p>
    <w:p>
      <w:r>
        <w:t>Existing approaches include 3D convolutional neural networks (CNNs) for nodule detection and segmentation, hybrid CNN-transformer models for volumetric medical imaging, self-supervised methods (contrastive learning, masked volume modeling) for representation learning, and domain-adaptation techniques (adaptive batch norm, FiLM conditioning, domain-adversarial training). Prior radiomics and harmonization work uses HU calibration, histogram matching, and reconstruction-aware denoising. Limitations: many methods are developed and validated on single-site or small heterogeneous cohorts, yielding poor cross-site generalization; most models focus on single tasks (detection or segmentation) rather than joint multi-task pretraining; physics-informed harmonization is often ad hoc or not paired with model adaptation; explainability, uncertainty calibration, and radiomic fidelity are under-evaluated across vendors; synthetic augmentation for rare pathologies has produced spurious cues or has not been validated against expert review; and annotation pipelines frequently lack dual-read arbitration and frozen gold-standard sets required for robust clinical metrics.</w:t>
      </w:r>
    </w:p>
    <w:p>
      <w:r>
        <w:t xml:space="preserve"> </w:t>
      </w:r>
    </w:p>
    <w:p>
      <w:pPr>
        <w:pStyle w:val="Heading2"/>
      </w:pPr>
      <w:r>
        <w:t>Abstract</w:t>
      </w:r>
    </w:p>
    <w:p>
      <w:r>
        <w:t>We address robust, multi-site lung CT interpretation by combining physics-informed preprocessing with a multi-task 3D transformer foundation model. The method applies scanner-specific HU calibration, isotropic 1 mm resampling, and reconstruction-aware denoising, then trains a hierarchical 3D transformer with joint objectives: nodule detection/localization, voxel-level segmentation (nodules, consolidation, fibrosis, emphysema), parenchymal pattern classification (UIP, NSIP, organizing pneumonia, GGO), and longitudinal volumetry. Domain-adaptive normalization layers (conditioned on scanner/protocol metadata) are included to align feature distributions across sites. Outputs include calibrated uncertainty scores and saliency maps for clinician review. The main contribution is an end-to-end, pre-registered pipeline that links physics-based harmonization, multi-task pretraining, and per-site domain adaptation to meet concrete clinical targets for sensitivity and volumetric accuracy on external multi-center validation. Expected outcome: improved cross-site sensitivity and volumetric fidelity relative to baselines, with reproducible validation on frozen multi-center holdouts and standardized explainability outputs for clinical use.</w:t>
      </w:r>
    </w:p>
    <w:p>
      <w:r>
        <w:t xml:space="preserve"> </w:t>
      </w:r>
    </w:p>
    <w:p>
      <w:pPr>
        <w:pStyle w:val="Heading2"/>
      </w:pPr>
      <w:r>
        <w:t>Experiments</w:t>
      </w:r>
    </w:p>
    <w:p>
      <w:r>
        <w:t>Datasets: pooled training set of 50,000 chest CTs from ~10 sites (3–8k/site) with multi-level labels (study-level, region boxes, 3D segmentations); frozen external holdouts: 3,000 cases (≈500 per external site); independent pooled validation: 10,000 cases; prospective pilot: 2,000 consecutive CTs across 2–3 sites. Baselines: (A) identical 3D transformer without physics-informed preprocessing, (B) 3D CNN single-task detectors/segmenters, (C) model without domain-adaptive normalization layers, (D) same architecture trained from scratch without self-supervised pretraining. Metrics: per-lesion sensitivity for nodules ≥6 mm, per-lesion false-positive rate, nodule volumetric mean absolute error (MAE, percent), segmentation Dice coefficient, classification AUC for UIP vs non-UIP, expected calibration error (ECE), Brier score, radiomic intraclass correlation coefficient (ICC) for key features, per-vendor stratified metrics, and clinician-rated saliency usefulness. Preprocessing: resample to isotropic 1.0 mm, HU calibration by scanner LUT anchored to phantom references, lung crop, reconstruction-aware denoising. Training: multi-task loss weighting; self-supervised pretraining (masked volume modeling) followed by supervised fine-tuning; compute budget targeted 8–16 A100 GPUs for 2–6 weeks. Ablations: remove HU calibration, remove reconstruction-aware denoising, remove domain-adaptive layers (AdaBN/FiLM), remove self-supervised stage, and compare transformer vs hybrid CNN-transformer. Robustness tests: low-dose simulations (25%, 50% dose), motion blur, metal artifacts, kernel shifts, missing slices; 200 cases per perturbation pooled across vendors and stratified by vendor/kernel when possible. Additional evaluations: radiologist saliency-read study n=100 (clinician rating of saliency maps), calibration plots and decision-curve analysis, subgroup analyses by age/sex/race/scanner. Success criteria: improvement in primary hypothesis metrics versus best-performing baseline with statistical significance (p&lt;0.05) and tighter confidence intervals on frozen external holdouts.</w:t>
      </w:r>
    </w:p>
    <w:p>
      <w:r>
        <w:t xml:space="preserve"> </w:t>
      </w:r>
    </w:p>
    <w:p>
      <w:pPr>
        <w:pStyle w:val="Heading2"/>
      </w:pPr>
      <w:r>
        <w:t>Risk Factors And Limitations</w:t>
      </w:r>
    </w:p>
    <w:p>
      <w:r>
        <w:t>Annotation variability and inter-reader disagreement may limit ground-truth fidelity (3D segmentation is time-consuming and variable). Domain shift remains possible for rare scanners/protocols not in training data. Physics-based preprocessing (HU calibration, denoising) may inadvertently alter subtle texture cues important for classification. Synthetic augmentation for rare pathologies risks introducing spurious features that models exploit. Compute cost and energy consumption for pretraining and full-resolution 3D models are high and may limit scalability. Performance may not generalize to pediatric populations or extreme pathologies absent from the dataset. Privacy and membership-inference risks exist if synthetic data or model outputs leak sensitive signals. Prospective clinical impact (workflow time savings, patient outcomes) may differ from retrospective metrics. Robustness tests may be underpowered when stratified finely by vendor, kernel, and dose, limiting interpretation of per-stratum failure modes.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