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personalized_nutrition_rct</w:t>
      </w:r>
    </w:p>
    <w:p>
      <w:r>
        <w:t xml:space="preserve"> </w:t>
      </w:r>
    </w:p>
    <w:p>
      <w:pPr>
        <w:pStyle w:val="Heading2"/>
      </w:pPr>
      <w:r>
        <w:t>Title</w:t>
      </w:r>
    </w:p>
    <w:p>
      <w:r>
        <w:t>Randomized controlled trial of an algorithm-driven personalized digital nutrition intervention for weight loss in adults with overweight or obesity</w:t>
      </w:r>
    </w:p>
    <w:p>
      <w:r>
        <w:t xml:space="preserve"> </w:t>
      </w:r>
    </w:p>
    <w:p>
      <w:pPr>
        <w:pStyle w:val="Heading2"/>
      </w:pPr>
      <w:r>
        <w:t>Short Hypothesis</w:t>
      </w:r>
    </w:p>
    <w:p>
      <w:r>
        <w:t>Adults with overweight or obesity who receive an algorithm-driven personalized digital nutrition program will achieve greater mean percent weight loss at 6 months than adults who receive standard digital nutrition education.</w:t>
      </w:r>
    </w:p>
    <w:p>
      <w:r>
        <w:t xml:space="preserve"> </w:t>
      </w:r>
    </w:p>
    <w:p>
      <w:pPr>
        <w:pStyle w:val="Heading2"/>
      </w:pPr>
      <w:r>
        <w:t>Related Work</w:t>
      </w:r>
    </w:p>
    <w:p>
      <w:r>
        <w:t>Existing approaches to digital weight-loss interventions include standard digital education programs, human coaching models, rule-based personalization, and machine-learning personalization engines. Standard digital education often produces small average effects and low long-term maintenance. Human coaching can improve outcomes but is costly and hard to scale. Rule-based personalization uses fixed decision rules but lacks adaptive updating from individual responses. Machine-learning personalization can adapt to individual trajectories but prior work commonly suffers from small sample sizes, limited objective remote measurement (relying on self-report), weak handling of missing or irregular data, sparse fairness auditing across demographic groups, and limited pre-specification of estimands and regulatory pathways. Many prior studies do not evaluate maintenance beyond six months or test algorithm drift and equity in deployed conditions. Current gaps include rigorous remote QA of devices, formal MNAR (missing not at random) sensitivity pre-specification, clear linkage between estimands and analyses, and reproducible algorithm governance procedures.</w:t>
      </w:r>
    </w:p>
    <w:p>
      <w:r>
        <w:t xml:space="preserve"> </w:t>
      </w:r>
    </w:p>
    <w:p>
      <w:pPr>
        <w:pStyle w:val="Heading2"/>
      </w:pPr>
      <w:r>
        <w:t>Abstract</w:t>
      </w:r>
    </w:p>
    <w:p>
      <w:r>
        <w:t>We propose a pragmatic remote randomized controlled trial that tests whether an algorithm-driven personalized digital nutrition program produces greater weight loss than standard digital nutrition education in adults with overweight or obesity. The intervention combines baseline phenotyping (metabolic and behavioral), an algorithm that maps phenotype plus ongoing data to individualized dietary targets, behavior-change modules, just-in-time adaptive prompts, and optional human coaching. Objective remote measures (Bluetooth scales, accelerometers, mail-in biomarker kits) and a calibration subcohort will supply validated outcomes. Main contributions are (1) a pre-registered trial linking explicit ICH E9(R1) estimands to analysis models, (2) an operationalized personalization engine with audit-ready fairness and drift monitoring, and (3) an end-to-end evaluation pipeline including MNAR sensitivity analyses and mediation tests of adherence. Expected outcomes are an unbiased estimate of the intervention effect on mean percent weight change at 6 months, evidence on personalization mechanisms, and quantified equity-performance trade-offs to inform scalable, regulatory-ready digital nutrition interventions.</w:t>
      </w:r>
    </w:p>
    <w:p>
      <w:r>
        <w:t xml:space="preserve"> </w:t>
      </w:r>
    </w:p>
    <w:p>
      <w:pPr>
        <w:pStyle w:val="Heading2"/>
      </w:pPr>
      <w:r>
        <w:t>Experiments</w:t>
      </w:r>
    </w:p>
    <w:p>
      <w:r>
        <w:t>Datasets: (1) Primary trial dataset: randomized N=280 adults aged 18-65 with BMI&gt;=25, 1:1 allocation, follow-ups at 3, 6 (primary), and 12 months; (2) Calibration subcohort n=60 for paired in-person vs remote scale weights; (3) Historical de-identified weight-loss dataset n~500 for algorithm pretraining and stress tests; (4) Simulated drift datasets for algorithm robustness checks. Baselines: (A) active control = standard digital nutrition education; (B) non-personalized algorithmic program (same platform but generic targets); (C) personalized program without human coaching (ablation); (D) personalized program without JIT prompts (ablation). Evaluation metrics: primary = mean percent weight change at 6 months; secondary = waist circumference change, HbA1c change, average daily moderate-to-vigorous physical activity minutes from accelerometer, device adherence rate (% days with weight), adverse events; algorithm metrics = RMSE for predicted weight trajectory (root mean square error), calibration slope and intercept (measures of predicted vs observed bias), disparate impact ratio across race/SES (ratio of positive outcomes), and prediction fairness tests. Experimental setup: intention-to-treat (ITT) primary analysis using linear mixed-effects model (LME) with fixed effects for treatment, time (categorical), treatment×time, baseline percent weight, stratification covariates (BMI class, sex), random intercepts and slopes per participant, estimation by REML (restricted maximum likelihood). Missing data: multiple imputation under MAR and pre-specified MNAR pattern-mixture delta-adjustments (range of deltas) and selection-model gammas; sensitivity results reported. Statistical thresholds: two-sided alpha=0.05 for primary; hierarchical gatekeeping for key secondaries. Comparisons and ablations: (1) personalized vs control (primary); (2) personalized vs non-personalized (tests personalization value); (3) personalized with vs without coaching (tests human augmentation); (4) personalized with vs without JIT (tests timing adaptation); (5) subgroup interaction tests by insulin phenotype (HOMA-IR &lt;=2.5 vs &gt;2.5) using interaction terms and hierarchical models. Power: N=280 yields ~90% power to detect a 3.0% mean percent weight difference assuming SD=6.0%. Diagnostics: convergence checks, residual plots, influence diagnostics, and pre-specified tipping-point tables for MNAR.</w:t>
      </w:r>
    </w:p>
    <w:p>
      <w:r>
        <w:t xml:space="preserve"> </w:t>
      </w:r>
    </w:p>
    <w:p>
      <w:pPr>
        <w:pStyle w:val="Heading2"/>
      </w:pPr>
      <w:r>
        <w:t>Risk Factors And Limitations</w:t>
      </w:r>
    </w:p>
    <w:p>
      <w:r>
        <w:t>Technical failure modes: device loss, Bluetooth pairing failures, or vendor outages causing missing objective data. Measurement bias: remote scales and wearable drift leading to systematic error. Algorithm risks: model drift over time and degraded performance for small subgroups. Missing data: high dropout or nonrandom missingness (MNAR) that challenges inference. Evaluation biases: fairness metrics unreliable when subgroup sample sizes are small (e.g., fewer than ~50 per subgroup). Generalization limits: results apply mainly to smartphone users aged 18-65 and may not generalize to older adults or those without internet access. Regulatory risk: classification as Software as a Medical Device (SaMD) may require additional evidence and delay deployment. Phenotype misclassification: insulin phenotype may be wrong if fasting insulin is missing. Compute limits: real-time JIT processing may require scalable infrastructure; limited compute can reduce prompt timeliness. Privacy and data sharing: de-identification may not eliminate re-identification risk, limiting open data release.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