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rapid_gbs_rpa_crispr_poc</w:t>
      </w:r>
    </w:p>
    <w:p>
      <w:r>
        <w:t xml:space="preserve"> </w:t>
      </w:r>
    </w:p>
    <w:p>
      <w:pPr>
        <w:pStyle w:val="Heading2"/>
      </w:pPr>
      <w:r>
        <w:t>Title</w:t>
      </w:r>
    </w:p>
    <w:p>
      <w:r>
        <w:t>Rapid isothermal RPA and CRISPR-Cas12a point-of-care assay for detection of Group B Streptococcus from vaginal–rectal swabs</w:t>
      </w:r>
    </w:p>
    <w:p>
      <w:r>
        <w:t xml:space="preserve"> </w:t>
      </w:r>
    </w:p>
    <w:p>
      <w:pPr>
        <w:pStyle w:val="Heading2"/>
      </w:pPr>
      <w:r>
        <w:t>Short Hypothesis</w:t>
      </w:r>
    </w:p>
    <w:p>
      <w:r>
        <w:t>A dual-target RPA pre-amplification coupled with CRISPR-Cas12a detection on minimally processed combined vaginal–rectal swab eluates will detect Group B Streptococcus with ≥95% sensitivity and ≥95% specificity versus enriched culture plus PCR, achieve a limit of detection ≤100 CFU/mL, and return results within 30 minutes.</w:t>
      </w:r>
    </w:p>
    <w:p>
      <w:r>
        <w:t xml:space="preserve"> </w:t>
      </w:r>
    </w:p>
    <w:p>
      <w:pPr>
        <w:pStyle w:val="Heading2"/>
      </w:pPr>
      <w:r>
        <w:t>Related Work</w:t>
      </w:r>
    </w:p>
    <w:p>
      <w:r>
        <w:t>Existing rapid diagnostic approaches for GBS include culture-based enrichment (slow, 18–24 h), molecular NAATs (nucleic acid amplification tests) such as PCR (high sensitivity but requires labs), isothermal methods (RPA and LAMP) that amplify DNA at constant temperature, and CRISPR-based detection (Cas12/Cas13) that provides sequence-specific signal via collateral cleavage of reporters. Point-of-care designs have used lateral-flow readouts or portable fluorescence readers. Limitations in current methods: (1) many isothermal assays are not validated on crude swab lysates and are sensitive to inhibitors from vaginal/rectal material; (2) CRISPR workflows often require separate amplification and detection steps, complicating cartridge integration; (3) one-pot compatibility (combined amplification and CRISPR in one tube) is uncertain because buffer/enzyme conditions differ; (4) reagent stability and room-temperature storage for integrated cartridges remain underdeveloped; (5) clinical validations are limited in size or diversity of strains, and cross-contamination controls for high-sensitivity amplification are not always robust. These gaps hinder fast, robust, and deployable POC GBS testing.</w:t>
      </w:r>
    </w:p>
    <w:p>
      <w:r>
        <w:t xml:space="preserve"> </w:t>
      </w:r>
    </w:p>
    <w:p>
      <w:pPr>
        <w:pStyle w:val="Heading2"/>
      </w:pPr>
      <w:r>
        <w:t>Abstract</w:t>
      </w:r>
    </w:p>
    <w:p>
      <w:r>
        <w:t>Group B Streptococcus (GBS) screening during labor requires rapid, sensitive, and field-deployable tests. We propose a point-of-care assay combining recombinase polymerase amplification (RPA) — a low-temperature DNA amplification method — with CRISPR-Cas12a detection, applied to minimally processed combined vaginal–rectal swab eluates. The assay targets two conserved genes (sip and cfb) plus an internal amplification control, and is designed for either instrumented fluorescence or lateral-flow readout. Main contribution: an end-to-end validation plan that quantifies limit of detection (LOD) in CFU/mL, assesses inclusivity across GBS serotypes Ia–IX, tests exclusivity against near-neighbor species, and compares one-pot versus staged reagent workflows. Expected outcome: demonstration of a cartridge-compatible assay meeting clinical targets (sensitivity ≥95%, specificity ≥95%, LOD ≤100 CFU/mL, time-to-result ≤30 minutes). Impact: provide evidence for translation to a lyophilized, room-temperature-stable cartridge reader for intrapartum GBS screening in low-resource settings.</w:t>
      </w:r>
    </w:p>
    <w:p>
      <w:r>
        <w:t xml:space="preserve"> </w:t>
      </w:r>
    </w:p>
    <w:p>
      <w:pPr>
        <w:pStyle w:val="Heading2"/>
      </w:pPr>
      <w:r>
        <w:t>Experiments</w:t>
      </w:r>
    </w:p>
    <w:p>
      <w:r>
        <w:t>Datasets: (A) Analytical contrived panels: serial dilutions of quantified GBS strains (multiple serotypes Ia–IX) in negative swab eluate matrix; 20 replicates per dilution for probit LOD. (B) Inclusivity panel: ≥10 isolates per serotype Ia–IX (90 isolates). (C) Exclusivity panel: 20 non-GBS strains including S. pyogenes (3), S. dysgalactiae (3), Enterococcus faecalis (3), Enterococcus faecium (1), Lactobacillus crispatus (2), Lactobacillus jensenii (1), Gardnerella vaginalis (2), Escherichia coli (1), Staphylococcus aureus (1), Mycoplasma hominis (1), Ureaplasma parvum (1). (D) Clinical: prospective multi-center cohort N=500 pregnant women (target ≥73 positives) from diverse Ugandan sites. Baselines: selective enrichment culture + confirmatory PCR (gold standard), commercial NAAT if available, RPA-only (no Cas12) as internal molecular baseline. Evaluation metrics: sensitivity, specificity, positive predictive value (PPV), negative predictive value (NPV) with 95% confidence intervals adjusted for site clustering using generalized estimating equations (GEE); LOD95 by probit analysis reported in CFU/mL and CFU/reaction; invalid rate (%); median time-to-result; cross-contamination rate (%) from aerosol/adjacency tests; intra- and inter-operator agreement (kappa). Experimental setup: collect combined vaginal–rectal flocked swab, elute in 200 µL lysis buffer, perform minimal lysis (chemical/heat) and use 5–10 µL lysate per ~14–20 µL RPA reaction at 37–42°C for 10–20 min, followed by Cas12a detection 5–10 min; record fluorescence kinetics (FAM excitation/emission) or lateral-flow readout. Predefine primary analysis: per-protocol analysis including samples with valid index and reference results; secondary analysis: intent-to-test with invalids reported separately. Handle invalid/missing: exclude from primary sensitivity/specificity but report invalid rate and include in secondary. Statistical specifics: adjust planned sample size for design effect (assume ICC=0.01 → ~10% inflation); adaptive enrollment trigger: if observed prevalence &lt;10% after first 200 participants, extend enrollment until ≥73 positives. Ablations: (1) one-pot RPA+Cas12 vs two-step RPA→Cas12, (2) dual-target (sip+cfb) vs single-target assays, (3) fluorescence reader vs lateral-flow readout, (4) lyophilized reagents vs fresh mix. Reproducibility: multi-operator (≥3 operators), multi-day (≥5 days), multi-device (≥3 devices) testing of contrived LOD and clinical subset. Contamination tests: aerosolized amplicon challenge, adjacent high-positive/negative runs, and environmental swabbing; report cross-contamination frequency with N≥100 adjacency runs.</w:t>
      </w:r>
    </w:p>
    <w:p>
      <w:r>
        <w:t xml:space="preserve"> </w:t>
      </w:r>
    </w:p>
    <w:p>
      <w:pPr>
        <w:pStyle w:val="Heading2"/>
      </w:pPr>
      <w:r>
        <w:t>Risk Factors And Limitations</w:t>
      </w:r>
    </w:p>
    <w:p>
      <w:r>
        <w:t>Technical failure modes: (1) inability to achieve robust one-pot chemistry due to incompatible buffer or enzyme conditions for RPA and Cas12a leading to staged workflow necessity; (2) sample inhibitors from vaginal/rectal matrix (blood, mucus, lubricants, fecal residue) reducing sensitivity; (3) carryover contamination from high-copy amplicons causing false positives. Data and evaluation biases: (1) low prevalence at study sites reduces positive case count and widens confidence intervals; (2) operator-dependent swab collection variability affects measured sensitivity. Scalability and supply limits: (1) licensing constraints for RPA or Cas12a enzymes may require alternative chemistries causing delays or cost increases; (2) lyophilization may not reach desired shelf-life at room temperature. Compute and device limits: portable readers may have limited sensitivity versus lab instruments, affecting fluorescence readout. Generalization limits: performance validated on Ugandan isolates and settings may not fully transfer to other regions with different GBS variants or microbiomes. Environmental constraints: extreme storage/transport temperatures and intermittent power in field settings may impact reagent stability and reader operation.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