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phnom_dek_slag_provenance</w:t>
      </w:r>
    </w:p>
    <w:p>
      <w:r>
        <w:t xml:space="preserve"> </w:t>
      </w:r>
    </w:p>
    <w:p>
      <w:pPr>
        <w:pStyle w:val="Heading2"/>
      </w:pPr>
      <w:r>
        <w:t>Title</w:t>
      </w:r>
    </w:p>
    <w:p>
      <w:r>
        <w:t>Integrated archaeometallurgical and geochemical provenance analysis to reconstruct technological trajectories of iron smelting at Phnom Dek</w:t>
      </w:r>
    </w:p>
    <w:p>
      <w:r>
        <w:t xml:space="preserve"> </w:t>
      </w:r>
    </w:p>
    <w:p>
      <w:pPr>
        <w:pStyle w:val="Heading2"/>
      </w:pPr>
      <w:r>
        <w:t>Short Hypothesis</w:t>
      </w:r>
    </w:p>
    <w:p>
      <w:r>
        <w:t>Temporal changes in slag chemistry and microstructure at Phnom Dek are primarily caused by changes in ore source and flux composition rather than by changes in furnace geometry or firing temperature.</w:t>
      </w:r>
    </w:p>
    <w:p>
      <w:r>
        <w:t xml:space="preserve"> </w:t>
      </w:r>
    </w:p>
    <w:p>
      <w:pPr>
        <w:pStyle w:val="Heading2"/>
      </w:pPr>
      <w:r>
        <w:t>Related Work</w:t>
      </w:r>
    </w:p>
    <w:p>
      <w:r>
        <w:t>Prior work on archaeological iron provenance has combined slag typology, bulk major and trace element geochemistry, targeted isotopes, microscopy, thermodynamic modelling, and small-scale experimental smelts. Common approaches rely on bulk-sample XRF/ICP data and site-level typologies. Limitations remain: ore reference libraries are often sparse or non-systematic; bulk geochemistry can mask phase-specific signals (glass versus crystalline phases); isotope work frequently lacks phase-separated sampling and fractionation tests; diagenetic alteration of slag glass is under-controlled; statistical power and explicit hierarchical spatial models are rarely pre-registered; and experimental matrices often lack systematic replication and thermodynamic constraints. These gaps produce weak discrimination among nearby ore sources, ambiguous provenance assignments, and uncertain linkage of chemical changes to operational choices versus raw-material shifts.</w:t>
      </w:r>
    </w:p>
    <w:p>
      <w:r>
        <w:t xml:space="preserve"> </w:t>
      </w:r>
    </w:p>
    <w:p>
      <w:pPr>
        <w:pStyle w:val="Heading2"/>
      </w:pPr>
      <w:r>
        <w:t>Abstract</w:t>
      </w:r>
    </w:p>
    <w:p>
      <w:r>
        <w:t>This project aims to resolve whether shifting recipes or changing raw materials drove iron-smelting change at Phnom Dek (7th–20th c. CE) by combining phase-specific geochemistry, isotopes, thermodynamic models, controlled replication experiments, and spatial Bayesian inference. We will build a systematic ore reference library, apply phase-separated analyses (glass, crystalline phases, metal prills), and run isotope measurements (Pb, Sr, Nd, Fe, S) on mineral separates. Thermodynamic modelling will set feasible temperature/redox bounds, and controlled smelts will quantify isotopic and chemical offsets under varied ores, fluxes, furnace types, and temperatures. Analytical results feed hierarchical Bayesian mixing models that include spatial structure and explicit uncertainty propagation from instrument error and sample heterogeneity. The main contribution is a preregistered, reproducible pipeline that links micro-scale slag signatures to supply and operational choices and provides quantitative tests distinguishing recipe change from source change. Expected outcome: a defensible, time-resolved attribution of technological trajectories at Phnom Dek and a reusable protocol for regional archaeometallurgical provenance studies.</w:t>
      </w:r>
    </w:p>
    <w:p>
      <w:r>
        <w:t xml:space="preserve"> </w:t>
      </w:r>
    </w:p>
    <w:p>
      <w:pPr>
        <w:pStyle w:val="Heading2"/>
      </w:pPr>
      <w:r>
        <w:t>Experiments</w:t>
      </w:r>
    </w:p>
    <w:p>
      <w:r>
        <w:t>Datasets: (1) Archaeological set: for each sealed stratigraphic horizon n &gt;= 10 bulk slag fragments and 5 thin-section subsamples; all furnace-lining/tuyère fragments (3–5) and all metal prills; &gt;=5 short-lived charcoal samples per hearth for AMS dates. Record 3D provenience and context metadata. (2) Ore reference set: regional reconnaissance ~1 sample per 0.5–1 km2; deposit-level 20–30 hand samples; min n=10 chemically analysed specimens per putative source. (3) Experimental set: controlled smelts using three ore types (magnetite-rich, limonite/skarn, high-Ca skarn), three redox regimes (reducing, intermediate, oxidizing), temperature ladder 1100/1200/1300/1400 °C, two furnace geometries (bowl hearth with tuyère; shaft-type tuyère); replicates = 3 per cell (target 5 where feasible). Analytical methods: XRF/ICP-MS for bulk major/trace (XRF = X-ray fluorescence; ICP-MS = mass spectrometry for trace elements), XRD for mineral phases (X-ray diffraction), SEM-EDS for microtexture and semi-quantitative chemistry (scanning electron microscope with energy dispersive spectrometer), EPMA for quantitative microchemistry (electron probe microanalysis), LA-ICP-MS for in-situ trace and isotope mapping (laser ablation), Mössbauer or spectrophotometry for Fe2+/Fe3+ speciation, and Pb/Sr/Nd/Fe/S isotope analyses on phase separates. Thermodynamic modelling: FactSage or equivalent to compute slag liquidus and redox windows. Baselines: (A) bulk-only provenance model using bulk XRF/ICP data with MixSIAR-like mixing; (B) phase-aggregated model (glass+crystals combined); (C) full model (phase-separated chemistry + isotopes + spatial priors). Evaluation metrics: classification accuracy of source assignments on blind test samples, posterior credible interval widths for source proportions, isotopic offset magnitudes (Δ values), Rhat &lt; 1.05 and ESS &gt; 200 for Bayesian chains (convergence diagnostics), CV (coefficient of variation) for standardization metrics, Moran's I and Ripley’s K for spatial clustering, percent metal yield and prill-size distribution reproducibility (within 10%). Experimental comparisons / ablations: (1) Full pipeline vs baseline A to quantify improvement from phase separation and isotopes; (2) Full pipeline vs baseline B to quantify isotope added value; (3) Sensitivity runs excluding glass phases flagged as altered to test diagenesis effect; (4) Prior sensitivity: informative vs weakly informative priors in MixSIAR; (5) Isotope-fractionation ablation: compare corrected vs uncorrected isotope inputs. Statistical setup: preregistered hierarchical Bayesian model with random intercepts for context and furnace feature (nesting samples within contexts), spatial random effect (Gaussian process or conditional autoregressive term) for spatial autocorrelation, likelihoods that include analytical error terms (instrumental SD) and within-sample variance; power analysis via Monte Carlo simulation of this hierarchical model (code in R + Stan, package versions and seeds preregistered). QA/QC: field blanks every 20 samples, procedural blanks for LA-ICP-MS every 10 runs, matrix-matched standards every 10–15 analyses, and round-robin where possible. Outputs: posterior source assignments, thermodynamic envelopes, experimental correction factors for isotopic fractionation, and decision-tree for diagenesis screening.</w:t>
      </w:r>
    </w:p>
    <w:p>
      <w:r>
        <w:t xml:space="preserve"> </w:t>
      </w:r>
    </w:p>
    <w:p>
      <w:pPr>
        <w:pStyle w:val="Heading2"/>
      </w:pPr>
      <w:r>
        <w:t>Risk Factors And Limitations</w:t>
      </w:r>
    </w:p>
    <w:p>
      <w:r>
        <w:t>1) Diagenesis: post-depositional alteration may modify glass chemistry and isotopes, leading to false provenance signals; mineralogical checks may be inconclusive for highly altered samples. 2) Low source contrast: nearby ore deposits may have overlapping geochemistry and isotopes, reducing discrimination power. 3) Isotope fractionation: smelting may fractionate Fe and S; correction depends on experimental replicates and may retain residual uncertainty. 4) Sample size and power: field recovery limits or budget may make target sample counts unattainable, reducing statistical power. 5) Lab access and contamination: limited access to LA-ICP-MS/EPMA/Mössbauer or contamination can bias results. 6) Scale mismatch: small experimental furnaces may not fully reproduce large-scale ancient furnaces, limiting transferability of correction factors. 7) Priors and model sensitivity: Bayesian mixing results depend on priors and source-sample variance estimates; posterior results may shift under alternate priors. 8) Spatial confounding: spatial autocorrelation of sources and workshops may mimic production standardization patterns. 9) Ethical/logistic constraints: permits, community consent, and local capacity limits can delay sampling and data sharing. 10) Generalization: results from Phnom Dek may not generalize to other regions with different geology or cultural practices.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