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composite_bow_eurasia</w:t>
      </w:r>
    </w:p>
    <w:p>
      <w:r>
        <w:t xml:space="preserve"> </w:t>
      </w:r>
    </w:p>
    <w:p>
      <w:pPr>
        <w:pStyle w:val="Heading2"/>
      </w:pPr>
      <w:r>
        <w:t>Title</w:t>
      </w:r>
    </w:p>
    <w:p>
      <w:r>
        <w:t>A Bayesian multi-method reassessment of archaeological evidence for composite bows in ancient Eurasia</w:t>
      </w:r>
    </w:p>
    <w:p>
      <w:r>
        <w:t xml:space="preserve"> </w:t>
      </w:r>
    </w:p>
    <w:p>
      <w:pPr>
        <w:pStyle w:val="Heading2"/>
      </w:pPr>
      <w:r>
        <w:t>Short Hypothesis</w:t>
      </w:r>
    </w:p>
    <w:p>
      <w:r>
        <w:t>If a bow was made using composite construction, then it will exhibit co-located signatures—distinct internal laminations visible by high-resolution micro-CT, adhesive chemical profiles consistent with glues/resins, and proteomic markers of horn or sinew—that are statistically stronger than in non-composite (self) bows.</w:t>
      </w:r>
    </w:p>
    <w:p>
      <w:r>
        <w:t xml:space="preserve"> </w:t>
      </w:r>
    </w:p>
    <w:p>
      <w:pPr>
        <w:pStyle w:val="Heading2"/>
      </w:pPr>
      <w:r>
        <w:t>Related Work</w:t>
      </w:r>
    </w:p>
    <w:p>
      <w:r>
        <w:t>Prior work on ancient bows has relied mainly on typology (shape and size), iconography (images), isolated material analyses, and single-method case studies. Typological and iconographic approaches are limited because shapes can be produced by different technologies and images rarely show internal structure. Past material analyses often used single techniques (for example surface FTIR or a single ZooMS test), producing ambiguous or non-replicable claims. Radiocarbon dating has been applied inconsistently, and many studies lack standardized sampling or clear chain-of-custody. Inter-lab variability and the absence of modern reference laminates reduce comparability. No existing study integrates high-resolution internal imaging, multi-chemical assays, proteomics, direct dating, and experimental performance data within a reproducible statistical framework. These gaps lead to weak inference about whether specific artifacts are true composites or altered/non-composite objects.</w:t>
      </w:r>
    </w:p>
    <w:p>
      <w:r>
        <w:t xml:space="preserve"> </w:t>
      </w:r>
    </w:p>
    <w:p>
      <w:pPr>
        <w:pStyle w:val="Heading2"/>
      </w:pPr>
      <w:r>
        <w:t>Abstract</w:t>
      </w:r>
    </w:p>
    <w:p>
      <w:r>
        <w:t>This project reassesses claims for composite bow technology across ancient Eurasia by combining high-resolution internal imaging, chemical and proteomic assays, controlled experimental reconstructions, and a hierarchical Bayesian model that integrates multiple evidence streams. We test whether composite construction produces co-located physical and molecular signatures that distinguish composite bows from self-bows. The approach uses micro-CT (3D X-ray imaging), FTIR/Raman and GC-MS (chemical identification of adhesives), ZooMS/proteomics (protein-based species ID), and AMS radiocarbon dating, together with mechanical and ballistic metrics from experimental replicas. Main contributions are (1) explicit, reproducible decision rules and likelihood functions for composite attribution, (2) a reference library of modern laminated controls and adhesive spectra, and (3) an open Bayesian workflow to compute specimen-level posterior probabilities of composite construction. Expected outcomes include a validated pilot dataset, comparative prevalence estimates by region, and a transparent framework for future large-scale reassessments of composite-bow evidence.</w:t>
      </w:r>
    </w:p>
    <w:p>
      <w:r>
        <w:t xml:space="preserve"> </w:t>
      </w:r>
    </w:p>
    <w:p>
      <w:pPr>
        <w:pStyle w:val="Heading2"/>
      </w:pPr>
      <w:r>
        <w:t>Experiments</w:t>
      </w:r>
    </w:p>
    <w:p>
      <w:r>
        <w:t>Datasets: Pilot set of 8–12 artifacts selected stratified by region (Altai/Pazyryk, Scythian-Saka, Xiongnu/Han, Central Asia, Near East) and preservation state; baseline controls: 6 modern reference specimens (known self-bows) and 6 modern laminated reconstructions (known composites). Expanded set: 25–40 artifacts per region for follow-up. Imaging: micro-CT scans at voxel size ≤20 µm (target 5–10 µm for small pieces); output: raw TIFF stacks and reconstructed volumes. Chemical assays: FTIR spectral resolution ≤4 cm−1, Raman mapping step ≤50 µm, GC-MS for organic residues with ng-level sensitivity; report mzML/mzXML where applicable. Proteomics: ZooMS peptide mass fingerprinting, require ≥3 diagnostic peptides for species ID; report spectral counts and FDR ≤1%. Radiocarbon: AMS dating on adhesives or well-contexted organics; report δ13C, δ15N for reservoir checks; use OxCal or equivalent for chronology. Experimental reconstruction and ballistics: build matched composite and self-bow replicas using confirmed materials; mechanical tests on instrumented draw machine to record draw-force curves, stored energy (Joules), elasticity, and fatigue; ballistic trials measure initial arrow velocity (m/s), accuracy (grouping), penetration (depth mm). Baselines: classify specimens using (A) imaging-only, (B) chemistry-only, (C) proteomics-only, (D) combined deterministic rules, and (E) Bayesian multi-method model. Evaluation metrics: sensitivity, specificity, ROC AUC for binary composite classification; posterior probability calibration (Brier score), precision-recall, and credible intervals for prevalence estimates; mechanical effect sizes (mean stored energy difference, Cohen's d) between composite vs self-bow replicas. Experimental setup: blind inter-lab replication on 6 reference samples; QA blanks: one extraction blank per 5 proteomic samples; destructive sampling limited ≤5 mg. Statistical tests and model: hierarchical Bayesian model in Stan (cmdstanr) with specimen nested in site nested in region/time; evidence likelihoods: Bernoulli for imaging layering presence, Poisson/Binomial for peptide counts, Gaussian for continuous chemistry scores and mechanical metrics; priors weakly informative (Normal(0,1) on logit scale), perform prior predictive checks. Ablation studies: (1) remove adhesive chemistry from model, (2) remove proteomics, (3) remove imaging; measure change in AUC and posterior probability shifts. Power and sample-size: run simulation-based power analysis using power.prop.test and hierarchical simulations to validate sample targets (pilot n=8–12; follow-up n=25–40/region; target n≈96 for precise prevalence). Reproducibility: provide Docker container, cmdstanr scripts, and simulated minimal datasets.</w:t>
      </w:r>
    </w:p>
    <w:p>
      <w:r>
        <w:t xml:space="preserve"> </w:t>
      </w:r>
    </w:p>
    <w:p>
      <w:pPr>
        <w:pStyle w:val="Heading2"/>
      </w:pPr>
      <w:r>
        <w:t>Risk Factors And Limitations</w:t>
      </w:r>
    </w:p>
    <w:p>
      <w:r>
        <w:t>Permit and access delays may prevent destructive sampling or scanning. Poor preservation or contamination (taphonomy, conservation resins) can mask adhesive or protein signals. Small pilot sample sizes limit power and increase uncertainty; hierarchical Bayesian inference may be sensitive to prior choices and correlated errors across evidence streams. Inter-lab variability and batch effects in chemical and proteomic assays can bias results if not modeled. Radiocarbon reservoir effects (marine/old carbon) can distort dates if isotopic signals are ambiguous. Experimental reconstructions may not perfectly replicate ancient materials or manufacturing skill, limiting direct functional comparisons. Findings may not generalize across all regions or time periods due to cultural variability in bow design and raw materials. Costs of micro-CT, AMS dates, and proteomics may limit sample throughput.</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