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loire_pleistocene_dispersal</w:t>
      </w:r>
    </w:p>
    <w:p>
      <w:r>
        <w:t xml:space="preserve"> </w:t>
      </w:r>
    </w:p>
    <w:p>
      <w:pPr>
        <w:pStyle w:val="Heading2"/>
      </w:pPr>
      <w:r>
        <w:t>Title</w:t>
      </w:r>
    </w:p>
    <w:p>
      <w:r>
        <w:t>Multi-proxy chronological, lithic and biomolecular testing of dispersal versus local innovation for early–middle Pleistocene occupations in western Europe</w:t>
      </w:r>
    </w:p>
    <w:p>
      <w:r>
        <w:t xml:space="preserve"> </w:t>
      </w:r>
    </w:p>
    <w:p>
      <w:pPr>
        <w:pStyle w:val="Heading2"/>
      </w:pPr>
      <w:r>
        <w:t>Short Hypothesis</w:t>
      </w:r>
    </w:p>
    <w:p>
      <w:r>
        <w:t>If Acheulean handaxe occurrences in western Europe reflect incoming populations rather than local innovation, then primary stratigraphic units showing the earliest Acheulean will appear abruptly in Bayesian-integrated chronologies and will be associated with a higher proportion of non-local raw-material signatures and distinct biomolecular taxonomic signals compared with immediately preceding Oldowan-like units.</w:t>
      </w:r>
    </w:p>
    <w:p>
      <w:r>
        <w:t xml:space="preserve"> </w:t>
      </w:r>
    </w:p>
    <w:p>
      <w:pPr>
        <w:pStyle w:val="Heading2"/>
      </w:pPr>
      <w:r>
        <w:t>Related Work</w:t>
      </w:r>
    </w:p>
    <w:p>
      <w:r>
        <w:t>Prior work has relied mainly on single-method chronologies (for example single-grain OSL or ESR alone), lithic typology comparisons, isolated raw-material studies, or rare biomolecular recoveries. These approaches often suffer from poor inter-site chronological correlation, ambiguous in situ versus redeposited contexts, small or inconsistent sampling protocols, and inconsistent QC standards. Existing demographic or dispersal models typically use coarse chronologies and do not integrate raw-material transport metrics or biomolecular data. Limits include low biomolecular preservation in deep time, over-reliance on typology as a proxy for population identity, inconsistent reporting of OSL overdispersion and grain counts, and lack of standardized SOPs and preregistered priors, which reduce reproducibility and comparability across terraces and regions.</w:t>
      </w:r>
    </w:p>
    <w:p>
      <w:r>
        <w:t xml:space="preserve"> </w:t>
      </w:r>
    </w:p>
    <w:p>
      <w:pPr>
        <w:pStyle w:val="Heading2"/>
      </w:pPr>
      <w:r>
        <w:t>Abstract</w:t>
      </w:r>
    </w:p>
    <w:p>
      <w:r>
        <w:t>This project tests whether Acheulean handaxes in western Europe reflect incoming populations or local innovation by implementing a standardized, multi-proxy pilot across Loire and Atlantic terrace sequences. We combine single-grain OSL, ESR/U-series, cosmogenic burial dating, tephrochronology and paleomagnetism in Bayesian age models; detailed lithic chaîne opératoire analysis with spatial refitting and petrographic/pXRF sourcing; and targeted enamel/dentine paleoproteomics and aDNA triage. The main contributions are (1) explicit numeric QC thresholds and sampling targets (e.g., single-grain OSL: 3–5 samples per unit, ≥150 grains measured, ≥100 accepted; overdispersion &lt;25%), (2) preregistered Bayesian and agent-based model priors and decision rules, and (3) shared SOPs, inter-lab blind checks, and power-analysis code for OSL, refit detection and biomolecular yield. Expected outcomes are reproducible chronologies, quantifiable evidence for abrupt versus gradual technological change, estimates of mobility (raw-material transport distances), and constrained molecular signals that together allow testing of dispersal versus local innovation scenarios.</w:t>
      </w:r>
    </w:p>
    <w:p>
      <w:r>
        <w:t xml:space="preserve"> </w:t>
      </w:r>
    </w:p>
    <w:p>
      <w:pPr>
        <w:pStyle w:val="Heading2"/>
      </w:pPr>
      <w:r>
        <w:t>Experiments</w:t>
      </w:r>
    </w:p>
    <w:p>
      <w:r>
        <w:t>Datasets: stratified deposits from Loire pilot sites (Saumur, Angers, Gien) and comparators (Gironde, Charente, Adour/Dordogne); per stratigraphic unit: single-grain OSL samples (3–5), ESR/U-series on teeth where present, cosmogenic burial pairs where applicable, tephra samples when present; lithic assemblages with full 3D provenience and sieving fractions (10 mm, 4 mm, 2 mm, 0.5 mm; microdebitage to 250 µm when preserved); raw-material pXRF and LA-ICP-MS targets; enamel/dentine/faunal samples N≥30 per season for biomolecular screening. Baselines: (A) typology-only inference (traditional handaxe/Oldowan attribution), (B) single-method chronology (OSL-only), (C) lithic sourcing without biomolecular input. Evaluation metrics: chronological precision = posterior age standard deviation (years) and median age differences between units; detection of abrupt appearance = Bayes factor comparing models with step-change vs gradual change; refit detectability = observed refit proportion and confidence interval; raw-material mobility = distribution of transport distances and percent non-local artifacts; biomolecular success rate = proportion of samples yielding authenticated proteomes or aDNA; power = Monte Carlo achieved power for distinguishing refit rates (target ≥80%). Experimental setup: apply shared SOPs; OSL analytic thresholds: measure ≥150 grains per sample, require ≥100 accepted grains, overdispersion threshold &lt;25%; if overdispersion &gt;25% apply finite-mixture modeling and report components. Refit targets: plan excavations to recover ≥350 artifacts per horizon to detect a 5% difference at ~90% power. Biomolecular authentication: peptides must appear in ≥2 independent extracts/runs and be absent in blanks; aDNA requires damage profile consistent with ancient DNA and independent lab replication. Comparisons/ablations: (1) full multi-method Bayesian chronology vs OSL-only chronology; (2) full model (chronology + lithic sourcing + biomolecules) vs model without biomolecules; (3) deterministic priors vs weakly informative priors in Bayesian chronology; (4) Monte Carlo ablation varying OSL overdispersion (10%, 20%, 30%), grain counts (100–300 accepted), and refit rates (3%, 8%,10%) to assess detection thresholds. Reproducibility: preregister priors and model code; run inter-lab blind duplicates for at least 10% of dating and biomolecular samples.</w:t>
      </w:r>
    </w:p>
    <w:p>
      <w:r>
        <w:t xml:space="preserve"> </w:t>
      </w:r>
    </w:p>
    <w:p>
      <w:pPr>
        <w:pStyle w:val="Heading2"/>
      </w:pPr>
      <w:r>
        <w:t>Risk Factors And Limitations</w:t>
      </w:r>
    </w:p>
    <w:p>
      <w:r>
        <w:t>Low biomolecular preservation may yield few or no proteomes/aDNA, limiting taxonomic resolution. Redeposition and post-depositional mixing can masquerade as primary occupation, causing false positives; micromorphology may not always resolve complex reworking. Dating discordance between methods can produce wide Bayesian posteriors; if many dates are discordant, model results will be uncertain. Sample-size constraints (artifact counts, available enamel/teeth) may reduce statistical power to detect refit-rate differences or abrupt technological change. Contamination risk in biomolecular labs can invalidate results if protocols are not strictly followed. Permit, ethical, or museum restrictions on destructive sampling may constrain biomolecular and geochronological sampling quotas. Findings will be most generalizable to preserved terrace and lacustrine sequences and may not apply to upland or heavily eroded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