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governmental_rationalities_english_policy</w:t>
      </w:r>
    </w:p>
    <w:p>
      <w:r>
        <w:t xml:space="preserve"> </w:t>
      </w:r>
    </w:p>
    <w:p>
      <w:pPr>
        <w:pStyle w:val="Heading2"/>
      </w:pPr>
      <w:r>
        <w:t>Title</w:t>
      </w:r>
    </w:p>
    <w:p>
      <w:r>
        <w:t>Mixed-methods critical discourse analysis and causal inference of how governmental rationalities produce misrecognition in English-in-education policy</w:t>
      </w:r>
    </w:p>
    <w:p>
      <w:r>
        <w:t xml:space="preserve"> </w:t>
      </w:r>
    </w:p>
    <w:p>
      <w:pPr>
        <w:pStyle w:val="Heading2"/>
      </w:pPr>
      <w:r>
        <w:t>Short Hypothesis</w:t>
      </w:r>
    </w:p>
    <w:p>
      <w:r>
        <w:t>Greater prevalence of managerial and neoliberal rationalities in English-in-education policy causes increased curricular narrowing and larger attainment gaps for pupils labeled EAL within three academic years of policy implementation.</w:t>
      </w:r>
    </w:p>
    <w:p>
      <w:r>
        <w:t xml:space="preserve"> </w:t>
      </w:r>
    </w:p>
    <w:p>
      <w:pPr>
        <w:pStyle w:val="Heading2"/>
      </w:pPr>
      <w:r>
        <w:t>Related Work</w:t>
      </w:r>
    </w:p>
    <w:p>
      <w:r>
        <w:t>Prior work analyzes educational policy through critical discourse and governmentality lenses and documents trends of metrication, marketization, and curricular centralization. Quantitative studies link accountability reforms to curriculum narrowing and test-focused instruction but often use coarse policy indicators or single reforms. Research on multilingual education and EAL highlights resource neglect and deficit labelling but rarely connects policy texts systematically to pupil-level outcomes. Existing mixed-methods attempts either provide rich qualitative description without reproducible codebooks or produce quantitative correlations without robust causal designs. Common limitations include lack of detailed, shareable codebooks for discourse coding; weak measurement validation of survey instruments operationalizing concepts like misrecognition; limited pre-registration and reproducible analysis pipelines; insufficient attention to measurement invariance across language groups; and reliance on canonical two-way fixed-effect DiD estimators that can be biased under staggered treatment timing.</w:t>
      </w:r>
    </w:p>
    <w:p>
      <w:r>
        <w:t xml:space="preserve"> </w:t>
      </w:r>
    </w:p>
    <w:p>
      <w:pPr>
        <w:pStyle w:val="Heading2"/>
      </w:pPr>
      <w:r>
        <w:t>Abstract</w:t>
      </w:r>
    </w:p>
    <w:p>
      <w:r>
        <w:t>This study tests whether intersecting governmental rationalities in English-in-education policy produce systematic misrecognition of learners, especially multilingual pupils. We will assemble a policy corpus (legislation, curriculum orders, accountability guidance, speeches, inspection frameworks), develop a reproducible codebook to identify managerial, neoliberal, and governmentality rationalities and misrecognition patterns, and link coded indices to pupil-level administrative outcomes and survey measures. Using validated survey scales and multilevel causal designs (event-study, staggered-adoption estimators, and synthetic control where appropriate), we will estimate the effect of policy-level rationalities on curriculum breadth, attainment gaps, and exclusion rates for pupils flagged EAL. The main contribution is an integrated, preregistered pipeline that converts passage-level discourse codes into school-year indices with provenance and quantifies their causal association with outcomes. Expected impact is clearer evidence on how policy language shapes practice and inequality, with reproducible materials for further research and policymaking.</w:t>
      </w:r>
    </w:p>
    <w:p>
      <w:r>
        <w:t xml:space="preserve"> </w:t>
      </w:r>
    </w:p>
    <w:p>
      <w:pPr>
        <w:pStyle w:val="Heading2"/>
      </w:pPr>
      <w:r>
        <w:t>Experiments</w:t>
      </w:r>
    </w:p>
    <w:p>
      <w:r>
        <w:t>Datasets: 1) Policy corpus: White Papers, National Curriculum orders (1988, 1999, 2013), Education Reform Act 1988 materials, DfE guidance, Ofsted frameworks (2005–2020), Academies Act materials, ministerial speeches, consultation documents. 2) Administrative pupil-level data: attainment (KS2, GCSE), EAL flag, exclusions, FSM/IMD, school identifiers, Ofsted rating, years 2000–present. 3) Surveys: teacher N=600 (stratified), student N=3600 across ~120 schools. 4) Qualitative interviews and classroom transcripts (n≈100 interviews). Baselines: a) naive keyword counts from policy texts; b) existing public coding schemes if available; c) two-way fixed-effect DiD estimator; d) models using unvalidated survey composites. Codebook and indices: create passage-level codes in NVivo; aggregate to school-year indices by three methods (frequency proportion, intensity-weighted sum, binary exposure above threshold). Evaluation metrics: inter-rater reliability (Cohen’s kappa), psychometrics (EFA/CFA fit: CFI/TLI, RMSEA, SRMR), Cronbach’s alpha/omega, balance tests (standardized mean differences), pre-trend tests, ATT estimates with robust SEs, permutation p-values for synthetic control, effect sizes (Cohen’s d), MDES (minimum detectable effect size) under ICC scenarios, and calibration diagnostics. Experimental setup: 1) Pilot: double-code 20 documents, achieve kappa≥.70; run cognitive interviews (n≈20) and pilot survey (n≈250) for EFA. 2) Main coding: double-code 25% corpus, adjudicate disagreements; export NVivo matrices with provenance metadata. 3) Construct school-year indices for each aggregation rule. 4) Causal analysis: estimate multilevel models (pupils nested in schools) and event-study DiD using staggered-adoption estimators (Callaway &amp; Sant’Anna and Sun &amp; Abraham) and compare to canonical two-way FE; run synthetic control for singular reforms (donor pool defined by pre-trend similarity and covariate matching on prior attainment, FSM, EAL share, region). 5) Ablations: compare aggregation rules; compare estimators (CSA vs Sun &amp; Abraham vs two-way FE); compare models with and without measurement-error correction from multiple imputed coding realizations. 6) Reporting: preregister analysis plan, provide model scripts, NVivo export templates, and container spec; report ATT estimates, confidence intervals, robustness checks, and psychometric validation results.</w:t>
      </w:r>
    </w:p>
    <w:p>
      <w:r>
        <w:t xml:space="preserve"> </w:t>
      </w:r>
    </w:p>
    <w:p>
      <w:pPr>
        <w:pStyle w:val="Heading2"/>
      </w:pPr>
      <w:r>
        <w:t>Risk Factors And Limitations</w:t>
      </w:r>
    </w:p>
    <w:p>
      <w:r>
        <w:t>Coding uncertainty and low inter-rater reliability may reduce signal; manual coding is time-consuming and may limit corpus scale. Survey nonresponse and selection bias may distort teacher and student measures. Administrative linkage may be blocked by data access or GDPR constraints. Causal identification may fail if parallel trends do not hold or if treatment timing is heterogeneous and not properly modeled. Measurement non-invariance across language groups can invalidate comparisons. Aggregation choices (frequency thresholds, weighting) introduce researcher degrees of freedom. Synthetic control and staggered estimators require sufficient pre-treatment data; lack of pre-periods limits inference. Results may not generalize beyond the English policy context or across education phases. Computational and storage demands for secure, linked data increase project cost and complexity. Policy-facing interpretations risk misuse or oversimplification if causal limits are not heeded.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