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social_cohesion_measure_africa</w:t>
      </w:r>
    </w:p>
    <w:p>
      <w:r>
        <w:t xml:space="preserve"> </w:t>
      </w:r>
    </w:p>
    <w:p>
      <w:pPr>
        <w:pStyle w:val="Heading2"/>
      </w:pPr>
      <w:r>
        <w:t>Title</w:t>
      </w:r>
    </w:p>
    <w:p>
      <w:r>
        <w:t>Development and validation of a mixed-methods psychometric instrument to measure social cohesion in African contexts</w:t>
      </w:r>
    </w:p>
    <w:p>
      <w:r>
        <w:t xml:space="preserve"> </w:t>
      </w:r>
    </w:p>
    <w:p>
      <w:pPr>
        <w:pStyle w:val="Heading2"/>
      </w:pPr>
      <w:r>
        <w:t>Short Hypothesis</w:t>
      </w:r>
    </w:p>
    <w:p>
      <w:r>
        <w:t>A culturally adapted, second-order psychometric scale of social cohesion will show scalar measurement invariance across at least four diverse African sites, enabling comparable latent means across groups.</w:t>
      </w:r>
    </w:p>
    <w:p>
      <w:r>
        <w:t xml:space="preserve"> </w:t>
      </w:r>
    </w:p>
    <w:p>
      <w:pPr>
        <w:pStyle w:val="Heading2"/>
      </w:pPr>
      <w:r>
        <w:t>Related Work</w:t>
      </w:r>
    </w:p>
    <w:p>
      <w:r>
        <w:t>Existing approaches measure social cohesion using social capital and trust surveys, institutional legitimacy items, civic participation counts, and occasional social network mapping. Psychometric work often applies confirmatory factor analysis (CFA) and item response theory (IRT) for scale development but is commonly limited to single-country studies or to Western-centric item pools. Cross-cultural studies report frequent item bias (differential item functioning, DIF) and inconsistent invariance testing, limiting cross-site comparability. Qualitative work highlights local concepts (e.g., ubuntu) but is rarely integrated into standardized instruments at scale. Prior mixed-methods pilots lack reproducible power calculations under clustered designs and often omit formal GBV safety SOPs. Limitations: weak cross-site linking practices, sparse IRT calibration across languages, insufficient cluster/ICC accounting in sample plans, and lack of pre-registered missing-data sensitivity analyses.</w:t>
      </w:r>
    </w:p>
    <w:p>
      <w:r>
        <w:t xml:space="preserve"> </w:t>
      </w:r>
    </w:p>
    <w:p>
      <w:pPr>
        <w:pStyle w:val="Heading2"/>
      </w:pPr>
      <w:r>
        <w:t>Abstract</w:t>
      </w:r>
    </w:p>
    <w:p>
      <w:r>
        <w:t>We develop and validate a mixed-methods psychometric instrument for measuring social cohesion in African contexts. The approach combines locally adapted survey items, vignette-based normative probes, social network indicators, cognitive interviews, and community advisory input. Psychometric validation uses multigroup confirmatory factor analysis (CFA) to compare correlated six-factor, second-order, and bifactor models, graded-response IRT (GRM) for item calibration, and DIF testing with false-discovery-rate control. Pilot data from multiple sites (stratified cluster samples) plus targeted simulations will integrate design effect (DEFF) and intraclass correlation (ICC) into reproducible sample‑size and power scripts. Main contributions are: (1) an empirically validated, culturally grounded social cohesion scale that supports cross-site latent mean comparisons; (2) an invariance and linking standard operating procedure (SOP) with code for R/Mplus/IRTPRO; and (3) open artifacts for ethics, GBV referrals, and data governance. Expected outcome: a comparable, transparent measure enabling valid cross-site policy inferences about social cohesion and its relation to conflict and cooperation.</w:t>
      </w:r>
    </w:p>
    <w:p>
      <w:r>
        <w:t xml:space="preserve"> </w:t>
      </w:r>
    </w:p>
    <w:p>
      <w:pPr>
        <w:pStyle w:val="Heading2"/>
      </w:pPr>
      <w:r>
        <w:t>Experiments</w:t>
      </w:r>
    </w:p>
    <w:p>
      <w:r>
        <w:t>Datasets: 1) Pilot empirical data: four diverse African sites (urban+rural strata) with target n=800 respondents per site, clusters ≥50 per site, cluster size m≈20 (multi-stage stratified sampling). 2) Follow-up panel: same respondents at 12 months (minimum 70% retention target). 3) Comparative anchors: established social capital/trust items and objective service-access metrics. 4) Simulation datasets: synthetic clustered response data with controlled DIF magnitudes (logit shifts 0.25, 0.50, 1.0) and varying ICCs (0.05, 0.10, 0.15). Baselines: (A) existing social capital scale (survey-only), (B) survey+vignettes (no network), (C) survey+network (no vignettes). Evaluation metrics and thresholds: - CFA fit: CFI≥0.95, TLI≥0.95, RMSEA≤0.06, SRMR≤0.08. (CFI/TLI are fit indices that show how well model fits data; RMSEA and SRMR are error measures.) - Measurement invariance sequence: configural→metric→scalar (monitor ΔCFI ≤0.01 for invariance). - IRT (GRM) metrics: discrimination a≥0.65, item information ≥0.5 at θ in [−1,1], test SE ≤0.30 across θ∈[−1,1]. (Discrimination measures item ability to distinguish respondents; information indicates precision at trait levels; θ denotes latent trait level.) - DIF detection: logistic/IRT-based tests with Benjamini–Hochberg FDR q=0.05 for screening and Bonferroni-adjusted confirmatory tests; flag threshold effect ≥0.25 logits. - Reliability: omega_total≥0.80; omega_hier ≥0.50 for general score reporting; ECV≥0.60 to support unidimensional reporting. Experimental setup: 1) Fit competing measurement models (correlated six-factor, second-order, bifactor) in each site and pooled multigroup CFA with survey-weighted MLR (software: Mplus or R lavaan+sva). 2) Calibrate GRM across pooled data using concurrent calibration with anchor items; if concurrent not feasible, perform separate calibrations and apply Stocking–Lord linking with anchor purification. 3) Run DIF analyses by language, gender, urban/rural and site using IRT-LR and logistic regression DIF; apply decision tree (statistical flag → cognitive review → revise/drop/retain with caveat). 4) Predictive validation: multilevel regression (individuals within clusters) testing whether latent cohesion scores predict community outcomes at follow-up: conflict incidence (binary count), cooperative project participation (count), and grievance reports; control covariates: age, sex, education, household wealth; report marginal effects with cluster-robust SE. 5) Ablation studies: compare full instrument vs (A) without vignettes and vs (B) without network indicators on invariance metrics and predictive R2. 6) Simulation studies: compute sample-size and DIF-power under clustered DEFF using provided R scripts (use ICC and item parameter inputs) to reproduce stated per-site targets. Software and reproducibility: supply R scripts (lavaan, mirt, difR), Mplus input templates, and IRTPRO command examples; all analyses include seed, random splits, and bootstrap (1,000 replications) for CIs.</w:t>
      </w:r>
    </w:p>
    <w:p>
      <w:r>
        <w:t xml:space="preserve"> </w:t>
      </w:r>
    </w:p>
    <w:p>
      <w:pPr>
        <w:pStyle w:val="Heading2"/>
      </w:pPr>
      <w:r>
        <w:t>Risk Factors And Limitations</w:t>
      </w:r>
    </w:p>
    <w:p>
      <w:r>
        <w:t>Technical failure modes: higher-than-expected ICCs or uneven cluster sizes can reduce effective sample size and power for CFA/IRT and DIF detection. Strong cross-language DIF may prevent scalar invariance, blocking latent mean comparisons. Panel attrition below 70% reduces ability to test predictive claims. Data biases: sensitive items (GBV, institutional distrust) may produce MNAR missingness or social-desirability bias. Evaluation limits: predictive associations are not full causal proof and may be confounded by unmeasured factors. Scalability and compute: pooled IRT calibration across large pooled N and many items can be computationally intensive and may require high-memory software or split-sample linking. Generalization: four-site pilot cannot represent all African heterogeneity; findings may not generalize to untested cultural or institutional contexts. Ethical and operational risks: inadequate local referral capacity for GBV cases or community resistance can halt fieldwork and bias samples. Anchoring/linking dependency: linking errors from poor anchor choice can distort cross-site comparability.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