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effort_neuromodulation_mapping</w:t>
      </w:r>
    </w:p>
    <w:p>
      <w:r>
        <w:t xml:space="preserve"> </w:t>
      </w:r>
    </w:p>
    <w:p>
      <w:pPr>
        <w:pStyle w:val="Heading2"/>
      </w:pPr>
      <w:r>
        <w:t>Title</w:t>
      </w:r>
    </w:p>
    <w:p>
      <w:r>
        <w:t>Multimodal neurocomputational mapping of subjective effort using simultaneous fMRI-EEG-pupillometry and pharmacological manipulation</w:t>
      </w:r>
    </w:p>
    <w:p>
      <w:r>
        <w:t xml:space="preserve"> </w:t>
      </w:r>
    </w:p>
    <w:p>
      <w:pPr>
        <w:pStyle w:val="Heading2"/>
      </w:pPr>
      <w:r>
        <w:t>Short Hypothesis</w:t>
      </w:r>
    </w:p>
    <w:p>
      <w:r>
        <w:t>Trial-by-trial subjective effort is caused by the balance between control-demand signals (dorsal anterior cingulate cortex and anterior insula) and expected value signals (ventromedial prefrontal cortex and ventral striatum), such that increasing dopaminergic tone (methylphenidate) reduces reported effort for matched objective demand by amplifying value signals and reducing dACC/insula activation.</w:t>
      </w:r>
    </w:p>
    <w:p>
      <w:r>
        <w:t xml:space="preserve"> </w:t>
      </w:r>
    </w:p>
    <w:p>
      <w:pPr>
        <w:pStyle w:val="Heading2"/>
      </w:pPr>
      <w:r>
        <w:t>Related Work</w:t>
      </w:r>
    </w:p>
    <w:p>
      <w:r>
        <w:t>Prior work links dACC to control-demand, anterior insula to bodily salience, and vmPFC/ventral striatum to expected value; EEG midfrontal theta indexes conflict/control recruitment and pupil dilation indexes phasic arousal (proxy for locus coeruleus norepinephrine). Computational studies model effort as a cost-to-control or value-of-control but few combine trialwise self-report, simultaneous EEG-fMRI, pupillometry, and causal pharmacology. Limitations in existing approaches include reliance on single modalities (fMRI or EEG alone), sparse trialwise subjective ratings, weak causal tests of neuromodulators, limited hierarchical modeling tying latent variables to neural data, and inadequate preregistered multiple-comparison and psychometric controls. These gaps leave unresolved how neuromodulatory gain shapes momentary mapping from neural signals to conscious effort.</w:t>
      </w:r>
    </w:p>
    <w:p>
      <w:r>
        <w:t xml:space="preserve"> </w:t>
      </w:r>
    </w:p>
    <w:p>
      <w:pPr>
        <w:pStyle w:val="Heading2"/>
      </w:pPr>
      <w:r>
        <w:t>Abstract</w:t>
      </w:r>
    </w:p>
    <w:p>
      <w:r>
        <w:t>We test whether momentary subjective effort arises when control-demand and interoceptive salience exceed expected utility, and whether dopamine and noradrenaline change this mapping. We will collect simultaneous fMRI (whole-brain), EEG (midfrontal theta), pupillometry (phasic dilation), and peripheral physiology during an adaptive effort paradigm that yields trialwise effort ratings. A within-subject, double-blind crossover pharmacology manipulation (methylphenidate, atomoxetine, placebo) provides causal tests of dopaminergic and noradrenergic effects. Hierarchical Bayesian and drift-diffusion models will estimate latent expected control cost, value-of-control, prediction errors, and a neuromodulatory gain parameter; these trialwise estimates will be regressed against BOLD in predefined ROIs (dACC, anterior insula, vmPFC, ventral striatum), EEG theta, and pupil. Main contributions: (1) an integrated, preregistered multimodal pipeline linking latent computations to neural and subjective markers, and (2) causal evidence of how neuromodulators shift the neural-to-subjective-effort mapping. Expected outcome: specific neural and computational markers that predict and are modulated by pharmacological change in reported effort.</w:t>
      </w:r>
    </w:p>
    <w:p>
      <w:r>
        <w:t xml:space="preserve"> </w:t>
      </w:r>
    </w:p>
    <w:p>
      <w:pPr>
        <w:pStyle w:val="Heading2"/>
      </w:pPr>
      <w:r>
        <w:t>Experiments</w:t>
      </w:r>
    </w:p>
    <w:p>
      <w:r>
        <w:t>Participants and datasets: within-subject crossover N=40-50 adults; pilot N=12-16. Optional subsample N=15-20 for PET or neuromelanin MRI. Tasks: combined effort-discounting decisions and trialwise execution (adaptive cognitive tasks such as N-back or Stroop and a calibrated physical effort like handgrip); each session acquires 120 usable trials (2 tasks × 3 demand levels × 20 trials). Acquisition: 3T multiband EPI TR=700-800 ms, voxel=2.0-2.5 mm; simultaneous EEG 64-128 channels sampled ≥5 kHz (MR-synced); pupillometry 500-1000 Hz; ECG and respiration recorded. Pharmacology: methylphenidate 20 mg (task at 60-90 min), atomoxetine 40 mg (task at 90-120 min), placebo; washout ≥7 days; Latin-square counterbalance. Baselines: placebo session; ablations: (A) model without neuromodulatory gain parameter, (B) EEG-only sessions for SNR comparison, (C) dataset excluding pupil regressors. Evaluation metrics: behavioral — trialwise subjective effort VAS (z-scored) mean differences and within-subject effect sizes; model — WAIC/LOO, posterior predictive checks, parameter recovery correlations; neuroimaging — ROI parametric modulation effect sizes (beta estimates) with ROI FWE small-volume correction and voxelwise FWE p&lt;0.05; EEG — midfrontal theta power correlation with effort (Spearman/Pearson) and time-frequency cluster tests corrected for multiple contrasts; pupillometry — phasic amplitude regressions and pupil×neural interaction tests. Connectivity: DCM and PPI modulatory parameter differences by drug. Statistical preregistration: primary contrasts defined, correction across modalities and primary contrasts specified, and GLM design matrices including motor/EMG regressors pre-registered. Comparison/ablation study: compare full hierarchical model to model without gain parameter using LOO and test whether removing pupil regressors reduces explanatory power for subjective effort.</w:t>
      </w:r>
    </w:p>
    <w:p>
      <w:r>
        <w:t xml:space="preserve"> </w:t>
      </w:r>
    </w:p>
    <w:p>
      <w:pPr>
        <w:pStyle w:val="Heading2"/>
      </w:pPr>
      <w:r>
        <w:t>Risk Factors And Limitations</w:t>
      </w:r>
    </w:p>
    <w:p>
      <w:r>
        <w:t>Pharmacology confounds: drug side effects (nausea, anxiety, sedation) can change subjective ratings independent of effort. Measurement noise: simultaneous EEG-fMRI has high artifact risk (gradient and ballistocardiogram) that can reduce EEG SNR; midfrontal theta recovery may fail in some participants. Pupillometry confounds: luminance changes or blinks can bias phasic measures. Biomarker specificity: pupil is an indirect proxy for noradrenergic activity; PET tracers for norepinephrine are limited, so neuromelanin MRI may not capture phasic NE function. Modeling identifiability: hierarchical models with correlated latent variables (cost, value, gain) can be hard to identify without strong priors or parameter-recovery checks. Power uncertainty: actual effect sizes for drug × effort interactions may be smaller than assumed, reducing power. Generalization: lab-based calibrated tasks may not reflect real-world effort dynamics. Regulatory and safety constraints: PET or certain drug doses may be infeasible for some sites or participants, limiting sample size and biomarker completeness.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