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research_as_therapy_rct</w:t>
      </w:r>
    </w:p>
    <w:p>
      <w:r>
        <w:t xml:space="preserve"> </w:t>
      </w:r>
    </w:p>
    <w:p>
      <w:pPr>
        <w:pStyle w:val="Heading2"/>
      </w:pPr>
      <w:r>
        <w:t>Title</w:t>
      </w:r>
    </w:p>
    <w:p>
      <w:r>
        <w:t>Randomized controlled evaluation of a manualized research-as-therapy narrative intervention to improve meaning-making and psychological well-being in adults</w:t>
      </w:r>
    </w:p>
    <w:p>
      <w:r>
        <w:t xml:space="preserve"> </w:t>
      </w:r>
    </w:p>
    <w:p>
      <w:pPr>
        <w:pStyle w:val="Heading2"/>
      </w:pPr>
      <w:r>
        <w:t>Short Hypothesis</w:t>
      </w:r>
    </w:p>
    <w:p>
      <w:r>
        <w:t>Adults assigned to the manualized research-as-therapy intervention will show greater increases in presence of meaning (MLQ Presence) at post-treatment than adults assigned to an active supportive counseling control.</w:t>
      </w:r>
    </w:p>
    <w:p>
      <w:r>
        <w:t xml:space="preserve"> </w:t>
      </w:r>
    </w:p>
    <w:p>
      <w:pPr>
        <w:pStyle w:val="Heading2"/>
      </w:pPr>
      <w:r>
        <w:t>Related Work</w:t>
      </w:r>
    </w:p>
    <w:p>
      <w:r>
        <w:t>Existing approaches include narrative therapy, meaning-centered psychotherapy, life-review and expressive-writing interventions, and archival/oral-history memory-work. Clinical trials of narrative and meaning-focused therapies show moderate improvements in wellbeing but often lack standardized narrative-process measures. Expressive-writing is scalable but provides limited therapist scaffolding and smaller effects on meaning. Memory-work and public history methods provide rich prompts and artifacts but are rarely integrated into clinical trials and raise unresolved ethical issues about archival reuse and consent. Prior work using automated text analysis (e.g., LIWC, topic models) has produced candidate process markers but suffers from limited fairness testing, weak validation against clinical outcomes, and sparse human-in-the-loop governance. Overall limitations: unclear mechanisms linking narrative processes to meaning, lack of validated instruments for narrative coherence and agency, limited RCT evidence for combined history-based therapeutic protocols, insufficient dual-use consent frameworks, and underdeveloped NLP fairness and fidelity pipelines.</w:t>
      </w:r>
    </w:p>
    <w:p>
      <w:r>
        <w:t xml:space="preserve"> </w:t>
      </w:r>
    </w:p>
    <w:p>
      <w:pPr>
        <w:pStyle w:val="Heading2"/>
      </w:pPr>
      <w:r>
        <w:t>Abstract</w:t>
      </w:r>
    </w:p>
    <w:p>
      <w:r>
        <w:t>This study tests a manualized "research-as-therapy" intervention that guides participants to treat personal experience as data for structured inquiry, re-authoring, and integration, with the aim of increasing meaning and well-being. We will compare the intervention to an active supportive counseling control in a randomized trial and evaluate narrative processes (coherence and perceived agency) as mediators. Main contributions are: (1) a manualized, trauma-informed eight-session protocol adapted from narrative therapy and memory-work; (2) validated process instruments for narrative coherence and agency (codable scales); and (3) an evaluation combining standardized outcomes with mixed-methods and secure NLP-assisted analysis. Expected outcomes are increased presence of meaning and well-being in the active arm, with changes in narrative coherence and agency explaining part of the effect. Results will inform feasibility, mechanisms of change, and ethical data-governance practices for therapy that produces archival outputs.</w:t>
      </w:r>
    </w:p>
    <w:p>
      <w:r>
        <w:t xml:space="preserve"> </w:t>
      </w:r>
    </w:p>
    <w:p>
      <w:pPr>
        <w:pStyle w:val="Heading2"/>
      </w:pPr>
      <w:r>
        <w:t>Experiments</w:t>
      </w:r>
    </w:p>
    <w:p>
      <w:r>
        <w:t>Design: two-arm randomized controlled trial (research-as-therapy vs supportive counseling active control), individual randomization. Recommended sample-size scenarios: detect d=0.50 → Ntotal=128 (64/arm); detect d=0.40 → Ntotal=200 (100/arm); recommended enrollment target = 250 to allow ~20% attrition (expected analyzable N≈200). Mediation detection: for small-to-moderate indirect effects, plan N≥300 for multilevel mediation models. Datasets: (1) participant self-report measures collected at baseline, post, 3, 6, 12 months; (2) session audio transcripts and participant-produced artifacts (timelines, summaries); (3) derived NLP features (LIWC categories, topic proportions, agency lexicon counts). Baselines: supportive counseling active control (manualized, non-directive supportive therapy); secondary exploratory arm: expressive-writing only (ablation). Evaluation metrics: primary = MLQ Presence (continuous); secondary = WHO-5, PHQ-9, PCL-5 where relevant, Ryff subscales, WHOQOL-BREF; process = narrative coherence score (codable index), perceived agency score (lexicon + coder rating), Working Alliance Inventory (WAI), CSQ-8. NLP metrics: F1, precision, recall for coded labels; fairness metrics by subgroup (accuracy parity, equalized odds). Setup: randomize 1:1, blind outcome assessors to arm; deliver 8 weekly 60–75 minute sessions (manualized); audio-record sessions with consent. Primary analysis: linear mixed-effects model (LME; a model that accounts for repeated measures by using random effects for participants) predicting MLQ Presence over time with fixed effects for arm, time (pre-specified as categorical: baseline, post, 3m, 6m, 12m), arm×time, baseline MLQ, and random intercepts and slopes for participant; include clinician random intercept if clustered. Missing data: primary inference via LME (maximum likelihood), multiple imputation (MI) with m=50 imputations including all outcomes and auxiliary variables, and MNAR sensitivity via pattern-mixture models (delta adjustment). Mediation: multilevel structural equation modeling (multilevel SEM; models that allow mediation with data nested in participants) testing indirect paths via change in narrative coherence and perceived agency. Comparisons/ablations: (A) artifact prompts included vs artifact prompts omitted (within intervention arm, randomized); (B) individual vs small-group delivery pilot (cluster-adjusted analyses); (C) automated NLP features included vs excluded from mediator models to test contribution of automated coding. Fidelity: sample 30% of sessions for independent fidelity ratings; require ICC≥0.75 for coder reliability. Statistical thresholds: primary two-sided alpha=0.05; hierarchical testing of key secondary outcomes with false-discovery rate control for exploratory tests. Pre-registration: upload analysis scripts and data dictionary to a public repository prior to unblinding.</w:t>
      </w:r>
    </w:p>
    <w:p>
      <w:r>
        <w:t xml:space="preserve"> </w:t>
      </w:r>
    </w:p>
    <w:p>
      <w:pPr>
        <w:pStyle w:val="Heading2"/>
      </w:pPr>
      <w:r>
        <w:t>Risk Factors And Limitations</w:t>
      </w:r>
    </w:p>
    <w:p>
      <w:r>
        <w:t>Clinical safety: re-traumatization or symptom worsening from recalling difficult memories; potential for increased suicidal ideation in a minority of participants. Data and measurement: narrative coherence and agency scales may show low reliability or weak validity; coder drift and low interrater reliability can bias process estimates. NLP risks: subgroup bias where automated classifiers perform worse for underrepresented language or cultural styles, producing unfair or noisy features. Generalizability: results may not generalize beyond adult, literate, help-seeking samples or across cultures without adaptation. Scalability and compute: secure NLP pipelines and manual coding require substantial staff time and compute; large-sample mediation detection may be underpowered if recruitment falls short. Legal/ethical: archival dual-use consent may limit future data access or force removal of valuable datasets; limits to withdrawal for de-identified archives may raise participant concerns. Trial operations: clinician fidelity decay or turnover can degrade treatment fidelity; clustering by clinician increases sample-size needs. Technical failure modes: audio quality loss, failed de-identification, or data breaches could compromise privacy.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