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pygmalion_ai_narratives</w:t>
      </w:r>
    </w:p>
    <w:p>
      <w:r>
        <w:t xml:space="preserve"> </w:t>
      </w:r>
    </w:p>
    <w:p>
      <w:pPr>
        <w:pStyle w:val="Heading2"/>
      </w:pPr>
      <w:r>
        <w:t>Title</w:t>
      </w:r>
    </w:p>
    <w:p>
      <w:r>
        <w:t>Quantifying causal effects of cultural AI narratives on technical design and deployment using multilingual NLP, causal inference, and agent-based simulation</w:t>
      </w:r>
    </w:p>
    <w:p>
      <w:r>
        <w:t xml:space="preserve"> </w:t>
      </w:r>
    </w:p>
    <w:p>
      <w:pPr>
        <w:pStyle w:val="Heading2"/>
      </w:pPr>
      <w:r>
        <w:t>Short Hypothesis</w:t>
      </w:r>
    </w:p>
    <w:p>
      <w:r>
        <w:t>A higher prevalence of the Pygmalion narrative in a region's public and policy texts causes organizations operating there to deploy larger-capacity, more opaque AI models faster, controlling for sector and funding levels.</w:t>
      </w:r>
    </w:p>
    <w:p>
      <w:r>
        <w:t xml:space="preserve"> </w:t>
      </w:r>
    </w:p>
    <w:p>
      <w:pPr>
        <w:pStyle w:val="Heading2"/>
      </w:pPr>
      <w:r>
        <w:t>Related Work</w:t>
      </w:r>
    </w:p>
    <w:p>
      <w:r>
        <w:t>Prior work includes computational framing and narrative analysis that use topic models and supervised classifiers to measure media frames, plus causal inference studies that link media or policy signals to social outcomes using difference-in-differences (DiD) and instrumental variables (IV). Agent-based models (ABMs) have been used to simulate technology adoption under heterogeneous actors. Limitations: many framing studies are single-language or single-country and lack cross-cultural validation; measurement pipelines often ignore classifier uncertainty when feeding downstream causal tests; causal designs rarely pre-specify credible instruments for narrative exposure and often risk reverse causality; ABMs typically lack empirical calibration to deployment and funding time series; prior work rarely links quantified narrative metrics directly to concrete technical design outcomes (model opacity, explainability, human-in-loop features).</w:t>
      </w:r>
    </w:p>
    <w:p>
      <w:r>
        <w:t xml:space="preserve"> </w:t>
      </w:r>
    </w:p>
    <w:p>
      <w:pPr>
        <w:pStyle w:val="Heading2"/>
      </w:pPr>
      <w:r>
        <w:t>Abstract</w:t>
      </w:r>
    </w:p>
    <w:p>
      <w:r>
        <w:t>We study whether and how cultural narratives about AI change concrete technical decisions by organizations. We combine multilingual natural language processing (NLP) to measure narrative prevalence (supervised classifiers calibrated to human labels), causal inference methods (staggered DiD and instrumental variables for exogenous shocks), and agent-based models (ABMs, which are simulations of interacting actors) calibrated to real funding and deployment data. Main contribution: an end-to-end, reproducible pipeline that maps narrative prevalence to measurable design outcomes (model size, deployment speed, presence of explainability or human-in-loop) while propagating annotation and classifier uncertainty into causal estimates and simulation outputs. Expected outcome: testable estimates of narrative effects, validated ABM scenarios showing feedback loops, and open measurement artifacts (codebook, classifiers, synthetic validation data) to enable further cross-cultural study. The work informs policy levers that depend on how expectations shape technical trajectories.</w:t>
      </w:r>
    </w:p>
    <w:p>
      <w:r>
        <w:t xml:space="preserve"> </w:t>
      </w:r>
    </w:p>
    <w:p>
      <w:pPr>
        <w:pStyle w:val="Heading2"/>
      </w:pPr>
      <w:r>
        <w:t>Experiments</w:t>
      </w:r>
    </w:p>
    <w:p>
      <w:r>
        <w:t>Datasets: multilingual media corpora (GDELT, MediaCloud), national news archives (LexisNexis), policy texts (official gazettes), procurement records (EU TED, US SAM, UK Contracts Finder), funding databases (NIH RePORTER, NSF awards, CORDIS), software repositories (GitHub Archive, GHTorrent), and documented technical specs (README, model cards). Annotation: pilot Stage 1 = 300 items per language double-coded; Stage 2 = 1,500–3,000 items per language for training. Classifier training: supervised multi-label classifiers per language with intensity scale 0–3; 5-fold cross-validation and held-out multilingual test set. Baselines: (A) unsupervised topic-modeling frame proxy, (B) single-language classifier without calibration, (C) classifier without uncertainty propagation, (D) causal analyses using naive DID without robust estimators, (E) ABM without empirical calibration. Evaluation metrics: annotation Krippendorff's alpha; classifier precision/recall/F1 per frame and Brier score (probability calibration); adversarial robustness delta (relative F1 drop); causal metrics: DiD average treatment on treated (ATT) with 95% CI, IV first-stage F-statistic (&gt;10 target), p-values and corrected p-values; sensitivity metrics: Rosenbaum bounds and placebo lags; ABM metrics: root mean squared error (RMSE) between simulated and observed time series (deployments, funding) and coverage of 90% predictive intervals. Experimental setup: train classifiers with stratified sampling, report per-source and per-language confusion matrices, run adversarial tests (back-translation, code-switching, entity swaps) and record deltas. Causal tests: pre-specify treatment windows around exogenous shocks (platform rollout by region, major media leak release times, staggered algorithm change) and run robust staggered-DiD estimators (Callaway &amp; Sant'Anna or Sun &amp; Abraham style) plus IV using media-exposure shocks (time-zone stagger, newspaper strikes) and RDD where procurement score thresholds exist. Uncertainty propagation: build Bayesian hierarchical measurement-error models that ingest classifier probability distributions and annotator variance; run posterior sampling to produce causal effect posteriors. ABM: agents = developers, funders, procurement officers, regulators, users; utility functions include reputation, funding, compliance cost, and speed-to-market; calibrate parameters with Approximate Bayesian Computation (ABC) against observed funding and deployment timelines; perform global sensitivity analysis and ablation: (1) remove uncertainty propagation, (2) remove ABM calibration, (3) collapse multilingual to single-language. Reproducibility: fix random seeds, version datasets, and publish synthetic validation sets when raw data cannot be shared.</w:t>
      </w:r>
    </w:p>
    <w:p>
      <w:r>
        <w:t xml:space="preserve"> </w:t>
      </w:r>
    </w:p>
    <w:p>
      <w:pPr>
        <w:pStyle w:val="Heading2"/>
      </w:pPr>
      <w:r>
        <w:t>Risk Factors And Limitations</w:t>
      </w:r>
    </w:p>
    <w:p>
      <w:r>
        <w:t>Measurement bias: classifiers may mislabel frames in low-resource languages or niche sources, producing biased narrative prevalence. Annotation subjectivity: intercoder disagreement for subtle frames can remain high despite training. Causal identification limits: candidate instruments may be weak or invalid, and DiD assumptions (parallel trends) can fail. Reverse causality: policy changes or deployments might drive narratives rather than the reverse. Uncertainty propagation complexity: Bayesian measurement models increase computational cost and may not converge for large panels. ABM validity limits: calibrated parameters may not generalize across regions or sectors; ABM results depend on utility specification. Data access and privacy: some procurement, funding, or archival sources may be incomplete or restricted. Compute and scalability: multilingual models, Bayesian posteriors, and ABC calibration require substantial compute and time. External validity: results may not transfer to cultures or sectors not present in the sampled corpora.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