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triadic_semiosis_tcs</w:t>
      </w:r>
    </w:p>
    <w:p>
      <w:r>
        <w:t xml:space="preserve"> </w:t>
      </w:r>
    </w:p>
    <w:p>
      <w:pPr>
        <w:pStyle w:val="Heading2"/>
      </w:pPr>
      <w:r>
        <w:t>Title</w:t>
      </w:r>
    </w:p>
    <w:p>
      <w:r>
        <w:t>Operationalizing Peircean triadic semiosis with causal interpretant interventions to test grounding versus surface imitation in language models</w:t>
      </w:r>
    </w:p>
    <w:p>
      <w:r>
        <w:t xml:space="preserve"> </w:t>
      </w:r>
    </w:p>
    <w:p>
      <w:pPr>
        <w:pStyle w:val="Heading2"/>
      </w:pPr>
      <w:r>
        <w:t>Short Hypothesis</w:t>
      </w:r>
    </w:p>
    <w:p>
      <w:r>
        <w:t>Controlled interventions on the object O or on the sign S produce predictable changes in an extracted internal interpretant state I, and changes in I causally mediate subsequent model behavior B.</w:t>
      </w:r>
    </w:p>
    <w:p>
      <w:r>
        <w:t xml:space="preserve"> </w:t>
      </w:r>
    </w:p>
    <w:p>
      <w:pPr>
        <w:pStyle w:val="Heading2"/>
      </w:pPr>
      <w:r>
        <w:t>Related Work</w:t>
      </w:r>
    </w:p>
    <w:p>
      <w:r>
        <w:t>Existing approaches probe model internal representations using representational similarity metrics (CKA, RSA) and supervised probes, use activation patching and ablation to test causal influence, and create simulators or grounded datasets for grounding studies. Limitations: similarity metrics are correlational and can report spurious alignment without causal role; probes can overfit and do not prove mediation; activation patching can be unstable because the model may re-encode or bypass patched activations; many identification claims assume linear or low-dimensional structure and fail under high-dimensional nonlinearity; instruments such as nonce tokens and randomized contexts are suggested but rarely validated with placebos or balance tests; normalization and calibration of composite scores (like a Triadic Coherence Score) are ad hoc and not stress-tested; human baselines and reproducible null ensembles are often missing or underspecified.</w:t>
      </w:r>
    </w:p>
    <w:p>
      <w:r>
        <w:t xml:space="preserve"> </w:t>
      </w:r>
    </w:p>
    <w:p>
      <w:pPr>
        <w:pStyle w:val="Heading2"/>
      </w:pPr>
      <w:r>
        <w:t>Abstract</w:t>
      </w:r>
    </w:p>
    <w:p>
      <w:r>
        <w:t>We address whether large language models display genuine triadic semiosis—sign (S) → interpretant (I) → behavior (B) grounded in an object (O)—or only surface imitation. We propose an experimental blueprint that combines: (1) explicit causal Directed Acyclic Graphs (DAGs) for regimes of randomized prompts, context shifts, and implantation; (2) validated instruments (nonce tokens and randomized contexts) with placebo and balance checks; (3) a pre-registered implantation algorithm that produces an empirical interpretant I* and an insertion protocol with runtime stability diagnostics; and (4) a calibrated Triadic Coherence Score (TCS) built from normalized submetrics (representational alignment, causal mediation effect, inferential consistency, generalization index, robustness under intervention). Main contribution: a reproducible, testable pipeline that distinguishes causal mediation by I from surface imitation, with simulation benchmarks showing estimator bias and coverage under plausible confounding. Expected outcome: clear empirical criteria and open-source artifacts that let researchers claim or refute genuine semiosis with controlled statistical guarantees.</w:t>
      </w:r>
    </w:p>
    <w:p>
      <w:r>
        <w:t xml:space="preserve"> </w:t>
      </w:r>
    </w:p>
    <w:p>
      <w:pPr>
        <w:pStyle w:val="Heading2"/>
      </w:pPr>
      <w:r>
        <w:t>Experiments</w:t>
      </w:r>
    </w:p>
    <w:p>
      <w:r>
        <w:t>Datasets: 1) Synthetic grid-world simulator with objects O annotated by ID plus 16-dim continuous feature vectors; generate 10k episodes with 1k distinct O instances. 2) S-variants: for each O create 20 S variants (templated paraphrases, paraphrase-LM outputs, masked/occluded tokens, multimodal embeddings, and symbolic codes). 3) Held-out splits: train/val/test with 60/20/20% object-level splits; reserve 200 O for adversarial paraphrases. 4) Human baseline: N=50 raters per condition, repeated items for reliability. Models and baselines: A) toy transformer (6 layers, width 256) trained end-to-end with triadic architecture (sign encoder, object grounder, interpretant head). B) competence-matched surface-imitation baseline trained only on S→B. C) shuffled-O label model. D) pretrained LLM probing pipeline with frozen weights plus probes. Evaluation metrics: Representational Alignment (CKA/RSA; CKA = centered kernel alignment, a measure of similarity between activation spaces), Causal Mediation Effect (CME measured by activation patching; average causal mediation effect with bootstrap CIs), Inferential Consistency (probability mass shift of correct downstream predictions after O manipulation), Generalization Index (accuracy on held-out S' mapping to same O), Robustness Under Intervention (performance ratio natural vs. patched/ablated). Composite: Triadic Coherence Score TCS = mean of normalized submetrics, each normalized against null ensembles. Experimental setup: random seed fixed, 10k permutation tests and 10k bootstrap resamples for CIs, Holm correction across H1–H4, target power 0.8. Intervention protocols: randomized token interventions (do(S=s')), multi-layer activation patching (replace candidate I subspace with I*), runtime re-encoding test (re-run forward 5 timesteps and measure persistence), implant-sufficiency test (implant I* into new context). Ablations and comparisons: 1) remove object-grounding loss and compare TCS; 2) shuffle O labels baseline; 3) probe-only evaluation (no causal interventions); 4) instrument validation ablations: placebo checks (nonce tokens with no semantic effect), balance tests (compare covariate distributions), overidentification test when multiple instruments available. Patching diagnostics and decision rules: report variance-explained pre/post intervention, require VE_restored ≥ 50% for a successful implant, report bypass probability; flag ambiguous results for replication. Compute estimates: toy experiments 3–5 GPU-days; pretrained model probes 50–200 GPU-hours per variant.</w:t>
      </w:r>
    </w:p>
    <w:p>
      <w:r>
        <w:t xml:space="preserve"> </w:t>
      </w:r>
    </w:p>
    <w:p>
      <w:pPr>
        <w:pStyle w:val="Heading2"/>
      </w:pPr>
      <w:r>
        <w:t>Risk Factors And Limitations</w:t>
      </w:r>
    </w:p>
    <w:p>
      <w:r>
        <w:t>1) Distributed interpretant: I may be split across many neurons and not recoverable as a low-dimensional f(activations). 2) Rapid re-encoding/bypass: the model may reconstruct semantics after patching, making implants transient. 3) Instrument invalidity: nonce tokens or context shifts may violate exclusion (they may affect B directly) or be correlated with unobserved confounders; placebo/balance tests can fail. 4) Correlational false positives: CKA/RSA or probes can report alignment without causal role. 5) High-dimensional nonlinearity: standard ACME/ADE and 2SLS assumptions may fail, causing biased estimators. 6) Multiple comparisons: many candidate f, layers, and metrics increase false discoveries if not controlled. 7) Dataset leakage and spurious correlations in simulator or paraphrase generator. 8) Human annotation bias and limited cultural generality in human-model mapping. 9) Compute and scalability limits: activation extraction and patching on large models are expensive. 10) Limited generalization: results from toy simulators may not transfer to deployed, large-scale models.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