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llm_mentalhealth_triage_risk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Retrieval-augmented fine-tuned large language models for automated mental health triage and imminent crisis-risk detection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retrieval-augmented, fine-tuned large language model with clinician-in-the-loop escalation increases sensitivity for detecting imminent suicide risk within 24 hours compared to a standard rule-based screening system while maintaining non-inferior positive predictive value.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approaches include rule-based screening using validated instruments (for example, automated scoring of PHQ-9/GAD-7), classical machine-learning models trained on structured EHR features, and recent use of large language models (LLMs) for clinical text tasks via prompting or fine-tuning. Retrieval-augmented generation (RAG) has been used to ground LLM outputs with external documents. Limitations across these lines are: rule-based tools have limited coverage of nuanced language; classical models do not leverage free-text richness; off-the-shelf LLMs hallucinate factual claims and lack calibration for clinical risk; few multi-site, multi-label annotated corpora exist that include DSM/ICD crosswalks, severity, and explicit suicidal ideation labels; privacy de-identification for free text is incomplete and differential privacy (DP) effects on utility are not well characterized; and external, prospective validation and subgroup fairness analyses are rare. These gaps hinder reliable deployment in triage and crisis detection.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evaluates retrieval-augmented, fine-tuned large language models (LLMs) for automated mental health triage and imminent crisis-risk detection. The problem is that current automated tools miss nuanced expressions of risk in free-text clinical data or produce ungrounded assertions. We propose to fine-tune an LLM on multi-label, clinician-annotated clinical text and augment model reasoning with a retrieval index of authoritative clinical guidance and recent patient records so that outputs are grounded in source material. The main contribution is an end-to-end experimental framework that measures clinical sensitivity for imminent suicide risk (24-hour window), hallucination frequency (clinically verifiable false claims), calibration, and subgroup fairness across demographics. Expected outcomes are: (1) quantification of sensitivity gains from retrieval and fine-tuning, (2) rigorous hallucination and calibration benchmarks using blinded clinician adjudication, and (3) empirical trade-offs between privacy-preserving training (differential privacy) and clinical utility. Results will inform whether retrieval-augmented LLMs provide measurable, reliable improvements for triage workflows under clinical-safety constraints.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multi-site corpus of de-identified clinical notes and intake interviews (target n=50,000 encounters across 3 sites), standardized interview transcripts (n=5,000), and a synthetic augmentation set (n=20,000) explicitly labeled as synthetic. Annotation: multi-label schema with DSM-5/ICD presence, symptom severity (ordinal 0–4), functional impairment, temporal course, comorbidity flags, explicit suicidal/homicidal ideation, source metadata, timestamp, and demographics. Adjudication: dual independent clinician raters, third adjudicator for discordance; claim-level hallucination adjudication sample n=1,000 claims. Baselines: (A) rule-based instrument thresholds (automated PHQ-9/GAD-7), (B) classical ML on structured EHR features, (C) vanilla LLM zero-shot prompting, (D) LLM fine-tuned on domain text without retrieval. Proposed model: LLM fine-tuned on annotated text plus retrieval-augmented generation (RAG) using a vector index of clinical guidance and local records. Privacy ablations: fine-tune with DP-SGD at noise multipliers corresponding to ε≈0.5, ε≈1, ε≈4 (privacy accountant: Rényi DP). Ablations: (1) RAG vs no-RAG, (2) fine-tune vs few-shot prompting, (3) DP noise levels effect on metrics. Evaluation metrics: sensitivity (primary) within 24 hours, specificity, PPV/NPV, AUC, calibration-in-the-large and calibration slope (simple words: overall bias and scale of predicted risk), false-negative rate for high-risk cases, hallucination rate (per-claim and per-output), escalation latency (median and 90th percentile), decision-curve analysis and net benefit, subgroup fairness (equalized odds, FNR difference), and psychometric reliability for generated scores (Cronbach’s alpha, test-retest). Experimental setup: train/validation/test split by site for external validation (train on sites A+B, test on C), 5-fold cross-validation within training, and prospective pilot: run model in shadow mode for 4 weeks in one clinic to collect real-world flags. Statistical tests: cluster-adjusted GLMMs for primary comparison, bootstrapped CIs for calibration metrics, and pre-specified threshold selection by maximizing net clinical benefit on validation data. Reproducibility: release code, annotation schema, and pre-registered analysis plan; provide containerized training scripts and fixed random seeds.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Hallucinations: model may produce plausible but false clinical claims that could mislead clinicians. False negatives: misses of imminent-risk cases can cause patient harm. Data bias: annotations and training data may underrepresent languages, dialects, or marginalized groups, harming fairness. De-identification limits: removing identifiers in free text may be incomplete and re-identification risk remains. Privacy-utility trade-off: strong differential privacy will reduce model performance. Rare events and power: low base rates of suicide attempts make statistical power and precise estimates difficult without large multi-site samples. Compute and cost: DP-SGD and repeated retraining increase compute requirements and cost. Generalization: models may not transfer across care settings or cultures; idioms of distress vary. Workflow burden: high false-alarm rates can overload clinicians. Regulatory and legal constraints: approval pathways for decision-support may be lengthy. Adjudication variability: clinician disagreement on labels can limit gold-standard quality. These risks constrain feasibility and must be evaluated before clinical deployment.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