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german_minority_archive_affect_impact</w:t>
      </w:r>
    </w:p>
    <w:p>
      <w:r>
        <w:t xml:space="preserve"> </w:t>
      </w:r>
    </w:p>
    <w:p>
      <w:pPr>
        <w:pStyle w:val="Heading2"/>
      </w:pPr>
      <w:r>
        <w:t>Title</w:t>
      </w:r>
    </w:p>
    <w:p>
      <w:r>
        <w:t>Mixed-methods longitudinal evaluation of affective, social, and identity impacts of community archival engagement using experience sampling, validated psychometrics, and ethnographic case studies</w:t>
      </w:r>
    </w:p>
    <w:p>
      <w:r>
        <w:t xml:space="preserve"> </w:t>
      </w:r>
    </w:p>
    <w:p>
      <w:pPr>
        <w:pStyle w:val="Heading2"/>
      </w:pPr>
      <w:r>
        <w:t>Short Hypothesis</w:t>
      </w:r>
    </w:p>
    <w:p>
      <w:r>
        <w:t>Regular, active engagement with a community-controlled German minority archive causes an increase in individual sense of belonging and psychological wellbeing over 12 months, mediated by increased perceived empowerment.</w:t>
      </w:r>
    </w:p>
    <w:p>
      <w:r>
        <w:t xml:space="preserve"> </w:t>
      </w:r>
    </w:p>
    <w:p>
      <w:pPr>
        <w:pStyle w:val="Heading2"/>
      </w:pPr>
      <w:r>
        <w:t>Related Work</w:t>
      </w:r>
    </w:p>
    <w:p>
      <w:r>
        <w:t>Existing work combines digital storytelling, community archives, oral history, participatory methods, and psychological measurement (momentary affect, belonging, and wellbeing). Prior quantitative approaches often use cross-sectional surveys or short pre/post designs that cannot resolve temporal change or mechanisms. Experience Sampling Method (ESM) has been applied in affect research but rarely inside community-archive contexts and is often inconsistent in sampling frequency and duration. Ethnographic and participatory studies capture rich meanings but lack standardized outcome measures and are hard to generalize. Cross-language projects commonly rely on ad-hoc translations without formal invariance testing, weakening comparability. Data-governance literature stresses sovereignty and ethical consent but rarely integrates tiered access into preregistered analytic pipelines. Limitations therefore include weak longitudinal inference, limited integration of momentary affect with narrative data, lack of cross-language measurement validation, inconsistent ESM protocols, and few concrete plans linking community governance to reproducible analysis.</w:t>
      </w:r>
    </w:p>
    <w:p>
      <w:r>
        <w:t xml:space="preserve"> </w:t>
      </w:r>
    </w:p>
    <w:p>
      <w:pPr>
        <w:pStyle w:val="Heading2"/>
      </w:pPr>
      <w:r>
        <w:t>Abstract</w:t>
      </w:r>
    </w:p>
    <w:p>
      <w:r>
        <w:t>This study measures how participation in a community-controlled German minority archive affects individuals' emotions, social belonging, and identity over 12 months. We combine three methods: (1) repeated momentary assessments of affect using Experience Sampling Method (ESM), (2) validated psychometric scales for wellbeing, belonging, and empowerment, and (3) longitudinal ethnographic case studies and oral-history transcripts. The main contribution is a reproducible, preregistered mixed-methods pipeline that links momentary affect dynamics and psychometric change trajectories to qualitative narrative transformations, while preserving community data sovereignty. We operationalize community governance, bilingual measurement validation, and a clear analytic plan using multilevel growth models and mediation tests to identify mechanisms (for example, empowerment mediating belonging gains). Expected outcomes include tested effect sizes for archival engagement on wellbeing and belonging, validated bilingual instruments, and integrated joint displays that explain how archival practices shape personal and social outcomes. The design emphasizes transparent code, tiered data access, and measures appropriate for community review.</w:t>
      </w:r>
    </w:p>
    <w:p>
      <w:r>
        <w:t xml:space="preserve"> </w:t>
      </w:r>
    </w:p>
    <w:p>
      <w:pPr>
        <w:pStyle w:val="Heading2"/>
      </w:pPr>
      <w:r>
        <w:t>Experiments</w:t>
      </w:r>
    </w:p>
    <w:p>
      <w:r>
        <w:t>Datasets: 1) Primary longitudinal sample: baseline N = 250 participants recruited from the German minority community; target analytic N ≈ 175–190 after 25–30% attrition. 2) Pilot sample: N = 50 for translations, cognitive interviews, and ESM compliance testing. 3) Comparator sample: matched non-engaged community sample N = 120 (age, language, SES matched). 4) Qualitative corpus: audio/video interviews and transcripts for a purposive subsample (n = 30 longitudinal case studies). Baselines: (A) non-engaged comparator; (B) delayed-engagement control (engagement after 6 months); (C) reduced-protocol control (psychometrics only, no ESM). Measurements: WHO-5 (wellbeing), brief PANAS for momentary affect (positive/negative affect), Collective Self-Esteem, Identity Fusion, empowerment scale, ESM-derived measures (mean affect, affect variability, within-day affect slope), and archive-use logs (sessions, interviews contributed). ESM protocol: 2 prompts/day for 3 weeks per burst (recommendation based on burden/reliability); ESM explained: short surveys sent multiple times per day. Compliance targets: ≥60% of prompts per participant per burst; flag participants with &lt;40% for sensitivity checks. Timepoints: baseline, ESM burst at baseline, follow-ups at 3, 6, and 12 months with a 3-week ESM burst scheduled near month 3 for replication. Evaluation metrics: primary endpoints = change slope in WHO-5 and belonging composite over 12 months; secondary endpoints = ESM mean positive affect, affect variability, empowerment. Statistical analyses: three-level mixed-effects growth models (level 1 = momentary observations within bursts, level 2 = person, level 3 = site/language group) with random intercepts and slopes by person and site; fixed effects: time, engagement arm, language, generation, and interactions. Mediation: multilevel mediation testing whether empowerment mediates arm → belonging/wellbeing slopes. Measurement validation: forward-backward translation, cognitive interviews, and multi-group CFA for invariance (configural → metric → scalar). Missing data: maximum likelihood estimation in multilevel models; multiple imputation used as sensitivity with auxiliary variables. Ablations and comparisons: 1) remove ESM data to test incremental predictive value of momentary affect on long-term outcomes; 2) compare ESM frequency variants in pilot (2 vs 3 prompts/day) to test burden vs signal; 3) compare single-language vs bilingual instrument analysis to test cross-language effects. Baselines for quantitative comparisons: effect sizes from comparator arms and delayed-engagement arm. Reproducibility: preregister analysis plan, provide analysis scripts in R (lme4/brms) and Docker environment; seed and example data for power scripts included in repository.</w:t>
      </w:r>
    </w:p>
    <w:p>
      <w:r>
        <w:t xml:space="preserve"> </w:t>
      </w:r>
    </w:p>
    <w:p>
      <w:pPr>
        <w:pStyle w:val="Heading2"/>
      </w:pPr>
      <w:r>
        <w:t>Risk Factors And Limitations</w:t>
      </w:r>
    </w:p>
    <w:p>
      <w:r>
        <w:t>High attrition reducing power, especially across 12 months. Low ESM compliance causing missing intensive data and biased momentary estimates. Cross-language measurement non-invariance preventing direct score comparison. Self-selection bias: engaged participants may differ systematically (motivation, prior identity) from comparators. Trauma-related disclosures or distress triggered by narratives creating ethical and legal obligations. GDPR or legal data requests limiting availability of raw materials. Anonymization of audio/video may reduce analytic value (voice redaction loses paralinguistic cues). Storage and compute costs for preservation-quality audio/video and fixity checks may exceed budgets. Small qualitative subsample limits generalizability of ethnographic findings. Multilevel models assume missing-at-random; violations (missing-not-at-random) can bias estimates. Limited scalability: intensive ESM and ethnography are resource-heavy and may not generalize to larger populations.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