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impact_vc_ambiguity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analysis of how impact venture capitalists access founders and structure capital under ambiguous impact conditions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fund local-embeddedness increases the probability that an impact venture capitalist will invest in ventures operating in high-impact-ambiguity sectors.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splits into three strands. First, impact measurement frameworks and practice papers propose metrics and proxies for social/environmental outcomes but do not provide validated measures for cases where outcomes are novel, slow, or multi-dimensional (that is, ambiguous impact). Second, empirical studies of investment behavior use network analysis and mixed-effects econometric models to study deal sourcing and allocation; these studies typically focus on traditional VC or well-measured impact sectors and therefore do not address how ambiguity in impact signals changes sourcing, selection, or instrument choice. Third, qualitative and practitioner-oriented studies document heuristics and routines used by impact investors, but they are limited by small samples, single geographies, and lack of systematic triangulation with deal-level data. Common limitations are absence of a reproducible ambiguity index, weak causal identification strategies for policy- or instrument-level effects, small-cluster inference challenges, and privacy barriers to sharing detailed deal data.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impact venture capitalists enter new markets, find founders, and structure capital when social or environmental impact signals are ambiguous. We combine qualitative interviews and document analysis with a harmonized deal-level dataset and a reproducible ambiguity index that measures novelty, metric availability, regulatory uncertainty, outcome multiplicity, and measurement difficulty. Using mixed-effects models (random intercepts for fund and country), survival analysis, and quasi-experimental designs (difference-in-differences, instrumented rollouts, or regression discontinuity where available), we test whether local-embedded funds are more likely to invest under high ambiguity and how capital instruments shift. Main contributions: (1) an operational ambiguity index with transparency on weighting and uncertainty; (2) validated measurement of founder lived-experience; and (3) a pre-registered analytical pipeline that reports index uncertainty, measurement-error bounds, and privacy-preserving synthetic data. Expected outcomes include testable estimates of how ambiguity shapes investment likelihood, ticket size, and time-to-entry, and reproducible tools for researchers and practitioners.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dataset of 20 funds and ~200 deals; main dataset target of ~120 funds and ~1,200 deals across frontier and emerging geographies; validation subsample of ~240 founders for lived-experience sensitivity. Data fields: fund attributes (type, size, vintage), deal attributes (stage, sector, amount, date), sourcing channels, founder team profiles, investment memos, country-year policy indicators. Models and baselines: (A) Mixed-effects logistic regression for investment likelihood with random intercepts for fund and country; baseline: same model without Ambiguity Index. (B) Linear mixed-effects model on log(ticket) with same random effects; baseline: model replacing Ambiguity Index with single component 'evidence_gap'. (C) Cox proportional hazards for time-to-first-deal; baseline: no ambiguity covariates. Causal tests: difference-in-differences around staggered donor program rollouts; IV using externally assigned eligibility cutoffs; regression discontinuity on accelerator score cutoffs where available. Ablations: compare equal-weight index, PCA-derived weights, and Delphi expert weights; compare models with and without founder lived-experience; run measurement-error corrected models (regression calibration/SIMEX) vs naive models. Evaluation metrics: odds ratios and 95% CI for logistic models, percent change and CI for ticket models, hazard ratios for Cox models, AUC and calibration for predictive models, p-values with FDR control, first-stage F and partial R2 for IVs, pre-treatment balance stats for DiD, and power / MDE curves from simulation engine. Privacy evaluation: DP-synthetic utility metrics (KS distance for marginals, RMSE on continuous fields, AUC delta for predictive tasks) and formal disclosure-risk scores. Experimental setup: pre-register analysis plan and index construction; perform 2,000 bootstrap draws for PCA stability; double-code 25% of qualitative cases for inter-rater reliability; run all model variants and report full set of estimates, index-weight uncertainty propagation, and sensitivity to missingness scenarios.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 in founder lived-experience and ambiguity components (misclassification bias). Selection bias from non-random fund participation and limited access to private deal memos. Small or imbalanced cluster counts (few funds per stratum) that reduce reliability of cluster-robust SEs. Weak instruments or lack of credible quasi-experimental variation for causal identification. Missing data that may be not-at-random (MNAR) and change inference. Privacy constraints limiting data sharing and reducing reproducibility of some analyses. Differential-privacy synthetic data may degrade utility for fine-grained analyses. Heterogeneity across geographies and sectors limits generalization of estimates. Computational costs for bootstrap, DP synthesis, and simulation-based power analysis when scaling to full dataset.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