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consumption_populism_detection</w:t>
      </w:r>
    </w:p>
    <w:p>
      <w:r>
        <w:t xml:space="preserve"> </w:t>
      </w:r>
    </w:p>
    <w:p>
      <w:pPr>
        <w:pStyle w:val="Heading2"/>
      </w:pPr>
      <w:r>
        <w:t>Title</w:t>
      </w:r>
    </w:p>
    <w:p>
      <w:r>
        <w:t>Multimodal computational detection and causal testing of corporate populist rhetoric on consumer behavior</w:t>
      </w:r>
    </w:p>
    <w:p>
      <w:r>
        <w:t xml:space="preserve"> </w:t>
      </w:r>
    </w:p>
    <w:p>
      <w:pPr>
        <w:pStyle w:val="Heading2"/>
      </w:pPr>
      <w:r>
        <w:t>Short Hypothesis</w:t>
      </w:r>
    </w:p>
    <w:p>
      <w:r>
        <w:t>Exposure to corporate communications that contain populist rhetoric causes higher immediate consumer purchase intention and greater brand identification than exposure to neutral corporate communications.</w:t>
      </w:r>
    </w:p>
    <w:p>
      <w:r>
        <w:t xml:space="preserve"> </w:t>
      </w:r>
    </w:p>
    <w:p>
      <w:pPr>
        <w:pStyle w:val="Heading2"/>
      </w:pPr>
      <w:r>
        <w:t>Related Work</w:t>
      </w:r>
    </w:p>
    <w:p>
      <w:r>
        <w:t>Existing work splits into (1) computational detection of political and populist language using text classifiers and lexicons, (2) multimodal studies in the humanities that analyze images and video with qualitative methods, and (3) experimental framing studies in marketing that test rhetorical effects on consumers. Limitations: automated detection studies often rely on text-only features and simple lexicons that miss visual and multimodal cues; multimodal humanities work is rich qualitatively but not scaled or validated quantitatively; marketing experiments test framing but rarely link to large-scale observational measures of corporate communications or account for firm clustering and cross-national variation. Other gaps include inconsistent intensity scoring, few adversarial or multilingual robustness checks, limited causal identification from observational data, and frequent exclusion of paid advertising which may bias prevalence estimates.</w:t>
      </w:r>
    </w:p>
    <w:p>
      <w:r>
        <w:t xml:space="preserve"> </w:t>
      </w:r>
    </w:p>
    <w:p>
      <w:pPr>
        <w:pStyle w:val="Heading2"/>
      </w:pPr>
      <w:r>
        <w:t>Abstract</w:t>
      </w:r>
    </w:p>
    <w:p>
      <w:r>
        <w:t>This project measures how business leaders use populist logic in public communications and tests whether that rhetoric changes consumer behavior. We combine a multimodal detection system that scores presence and intensity of eight populist rhetorical categories across text and visual elements with causal tests: randomized messaging experiments and quasi-experimental analyses of corporate campaigns. Main contributions are (1) a validated multimodal annotation scheme and classifiers with calibrated intensity scores, (2) an empirical comparison of multimodal vs text-only detection and data-driven fusion weights, and (3) causal estimates of message effects on purchase intention, brand identification, and engagement using clustered mixed models and event-study designs. Expected outcomes are reproducible detectors for corporate populism, an evidence-based assessment of how such rhetoric shifts consumer responses, and diagnostics on cross-sector and cross-country variation that inform debates about corporate political signaling and market influence.</w:t>
      </w:r>
    </w:p>
    <w:p>
      <w:r>
        <w:t xml:space="preserve"> </w:t>
      </w:r>
    </w:p>
    <w:p>
      <w:pPr>
        <w:pStyle w:val="Heading2"/>
      </w:pPr>
      <w:r>
        <w:t>Experiments</w:t>
      </w:r>
    </w:p>
    <w:p>
      <w:r>
        <w:t>Datasets: Pilot annotated corpus = 3,000 public corporate items (ads, press releases, CEO letters, social posts) balanced across tech, retail, energy and languages (English, Portuguese/Hindi); Full corpus target = 50,000+ items with metadata (brand, campaign, timestamp, platform). Human coding: double-code 20% pilot; report Krippendorff's alpha per category. Classifier training: split pilot into train/validation/test (70/15/15) stratified by sector and platform. Baselines: (A) lexicon-based detectors per category, (B) text-only transformer classifier (multilingual transformer fine-tuned), (C) image-only CNN classifier, (D) simple multimodal concatenation. Proposed models: multimodal transformer fusion, and a learned weighting fusion model that estimates modality weights from validation data. Evaluation metrics for detection: precision, recall, F1 per category, macro-F1, calibration Brier score for intensity regression, and ordinal MAE for intensity (mean absolute error). Ablations: text-only vs multimodal, fixed heuristic weights vs learned weights, inclusion vs exclusion of paid/advertised content, and language transfer (train on two languages, test third). Consumer experiment: randomized online experiment with consumers N=600 per treatment cell; treatments = people-centrism, anti-elite, crisis framing, neutral control; randomize message exposure within participant and randomize across product categories and 20 brands (clustered by brand). Outcome measures: purchase intention (7-point scale), brand identification (7-point scale), perceived authenticity (7-point), willingness to pay (continuous), and behavioral proxy (click-through or simulated purchase). Analysis: estimate treatment effects using logistic/linear GLMMs with random intercepts for brand and participant, cluster-robust SEs by brand, and report effect sizes (Cohen's d) and 95% CI. Power: pre-register minimum detectable effects using cluster-adjusted formulas; target 80% power to detect d=0.25 with ICC=0.05. Quasi-experimental tests: difference-in-differences (DiD) around major campaigns or regulatory events comparing treated firms (high-populism messaging) to matched controls, implement event-study pre-trend checks and placebo windows; model families: logistic GLMM for binary outcomes, ordinal mixed models for intensity, and segmented regression for ITS. Multiplicity and preregistration: declare one primary estimand per outcome family (presence, intensity, purchase intention), use hierarchical gatekeeping to control family-wise error, and provide unadjusted secondary results. Reporting: include confusion matrices, calibration plots, and sensitivity analyses for paid-ad inclusion, modality weights, and classifier confidence thresholds.</w:t>
      </w:r>
    </w:p>
    <w:p>
      <w:r>
        <w:t xml:space="preserve"> </w:t>
      </w:r>
    </w:p>
    <w:p>
      <w:pPr>
        <w:pStyle w:val="Heading2"/>
      </w:pPr>
      <w:r>
        <w:t>Risk Factors And Limitations</w:t>
      </w:r>
    </w:p>
    <w:p>
      <w:r>
        <w:t>Technical failure modes: classifiers may overfit to platform-specific cues or brand names, fail on low-resource languages, or be vulnerable to adversarial paraphrases and image manipulations. Data and evaluation biases: sampling public communications may miss private or paid content, and excluding ads can bias prevalence estimates; platform API limits can create selection bias. Scalability and compute: multimodal models and video processing require substantial GPU time and storage; full-sample training may be costly. Measurement error: ordinal intensity scores are subjective and may show coder drift; classifier confidence uncertainty must propagate into causal estimates. Causal inference limits: DiD relies on parallel trends and may be confounded by time-varying firm shocks; synthetic controls may not exist for all cases. Generalization: results from sampled sectors, countries, and languages may not generalize globally. Legal and ethical constraints: cross-border data sharing, GDPR/LGPD, and platform terms may limit dataset release and model sharing. No mitigation strategies are specified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