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swedish_ssh_ethics_review_mixed_methods</w:t>
      </w:r>
    </w:p>
    <w:p>
      <w:r>
        <w:t xml:space="preserve"> </w:t>
      </w:r>
    </w:p>
    <w:p>
      <w:pPr>
        <w:pStyle w:val="Heading2"/>
      </w:pPr>
      <w:r>
        <w:t>Title</w:t>
      </w:r>
    </w:p>
    <w:p>
      <w:r>
        <w:t>Mixed-methods evaluation of how ethical review processes affect research practices among Swedish social sciences and humanities researchers</w:t>
      </w:r>
    </w:p>
    <w:p>
      <w:r>
        <w:t xml:space="preserve"> </w:t>
      </w:r>
    </w:p>
    <w:p>
      <w:pPr>
        <w:pStyle w:val="Heading2"/>
      </w:pPr>
      <w:r>
        <w:t>Short Hypothesis</w:t>
      </w:r>
    </w:p>
    <w:p>
      <w:r>
        <w:t>Lower clarity and consistency in research ethics committee (REC) guidance causes longer REC review durations and increased reported negative impacts on SSH research outcomes.</w:t>
      </w:r>
    </w:p>
    <w:p>
      <w:r>
        <w:t xml:space="preserve"> </w:t>
      </w:r>
    </w:p>
    <w:p>
      <w:pPr>
        <w:pStyle w:val="Heading2"/>
      </w:pPr>
      <w:r>
        <w:t>Related Work</w:t>
      </w:r>
    </w:p>
    <w:p>
      <w:r>
        <w:t>Existing work documents recurring issues: perceived bureaucratic burden from ethics review, uncertainty about GDPR and consent for qualitative methods, and a mismatch between REC frameworks and social science/humanities (SSH) epistemologies. Most prior studies are small-scale qualitative case studies, single-discipline surveys, or opinion pieces that highlight problems but do not provide validated, generalizable measures. Comparative analyses of REC decision letters are rare, and there is little work combining validated survey instruments with in-depth interviews and document analysis. Limitations in current approaches include small or convenience samples, lack of stratified sampling to cover arts and independent researchers, weak psychometric testing of survey items, sparse use of paradata (process metadata) for nonresponse correction, and limited mixed-methods integration that quantifies the prevalence of qualitative themes. These gaps leave uncertainty about how widespread identified problems are and which REC features predict measurable delays or harms.</w:t>
      </w:r>
    </w:p>
    <w:p>
      <w:r>
        <w:t xml:space="preserve"> </w:t>
      </w:r>
    </w:p>
    <w:p>
      <w:pPr>
        <w:pStyle w:val="Heading2"/>
      </w:pPr>
      <w:r>
        <w:t>Abstract</w:t>
      </w:r>
    </w:p>
    <w:p>
      <w:r>
        <w:t>This study addresses how ethical review processes shape research practices and outcomes for social sciences and humanities (SSH) researchers in Sweden. We combine in-depth interviews (30–40), focus groups (4–6), a national stratified survey (target n=1,200–1,500), and analysis of REC decision letters (approx. 150–250) to measure links between REC guidance clarity, review timing, and perceived research impact. The contribution is a validated survey instrument for SSH ethics experiences (with psychometric testing), a mapped taxonomy of qualitative themes, and joint displays that quantify how themes map to population prevalence. Expected outcomes include quantified estimates of delay and burden, identification of REC factors associated with longer review times and negative impacts, and reproducible evidence to inform REC guidance and training. The study preregisters instruments and a nonresponse protocol, collects paradata (timing and contact-mode logs), and produces weighted estimates using post-stratification. Results will provide both depth (qualitative explanation) and breadth (population-level estimates) to support policy-relevant recommendations.</w:t>
      </w:r>
    </w:p>
    <w:p>
      <w:r>
        <w:t xml:space="preserve"> </w:t>
      </w:r>
    </w:p>
    <w:p>
      <w:pPr>
        <w:pStyle w:val="Heading2"/>
      </w:pPr>
      <w:r>
        <w:t>Experiments</w:t>
      </w:r>
    </w:p>
    <w:p>
      <w:r>
        <w:t>Datasets: (1) Interview transcripts n=30–40 (60–90 min each). (2) Focus-group transcripts 4–6 groups, 6–8 participants each (90–120 min). (3) National survey targeting 1,200–1,500 completed responses; invite frame 4,000–6,000. (4) REC decision letters and templates N≈150–250 across institutions and years. Baselines: (A) unweighted survey estimates; (B) weighted survey with raking (raking = iterative post-stratification to match known margins); (C) null model with no REC-guidance predictors. Evaluation metrics: Survey psychometrics — Cronbach's alpha and McDonald's omega (internal consistency; alpha/omega &gt;=0.70 desirable), exploratory factor analysis (EFA) and confirmatory factor analysis (CFA) fit indices (RMSEA &lt;0.06, CFI/TLI &gt;0.95 as targets), factor loadings &gt;0.40. Survey outcome metrics — median review time (months), negative binomial model goodness-of-fit, effect sizes (Cohen's d) for group differences, odds ratios (OR) from logistic regressions, R-squared for linear models. Nonresponse diagnostics — R-indicator (response representativeness), subgroup response rates, effective sample size (neff). Qualitative metrics — intercoder agreement (Cohen's kappa target &gt;0.70), code saturation counts. Experimental setup: stratified sampling by discipline, career stage, institution type, and region; collect paradata (contact attempts, mode, timestamps, device type). Weighting procedure: post-stratify/rake to margins (institution, discipline, career stage, contract type, region); trim extreme weights at 99th percentile and cap maximum weight at 4 (weight cap = 4) as primary rule. Imputation: multiple imputation via chained equations (MICE) with predictors including paradata; set m=30 imputations. Modelling: mixed-effects regressions with institution/REC random intercepts; negative binomial for delay counts; test interactions discipline×career stage. Ablation/comparison studies: (1) compare estimates from unweighted vs weighted vs weighted+paradata models; (2) compare trimming rules (cap=4 vs cap=3 vs percentile trimming at 95th) and report variance changes; (3) qualitative codebook derived from pilot 6–8 interviews vs final codebook to test sensitivity of themes; (4) test models with and without REC-document-derived predictors (e.g., strictness index) to assess added explanatory power. Preregister analysis plan and nonresponse protocol; report all decision logs and weight files.</w:t>
      </w:r>
    </w:p>
    <w:p>
      <w:r>
        <w:t xml:space="preserve"> </w:t>
      </w:r>
    </w:p>
    <w:p>
      <w:pPr>
        <w:pStyle w:val="Heading2"/>
      </w:pPr>
      <w:r>
        <w:t>Risk Factors And Limitations</w:t>
      </w:r>
    </w:p>
    <w:p>
      <w:r>
        <w:t>Access risk: legal or administrative barriers to obtaining REC decision letters may reduce document sample or bias documents available. Nonresponse bias: differential response by discipline, career stage, or precarious contract types can limit representativeness. Self-report bias: recall errors and social desirability may distort reported experiences. Sensitive-topic suppression: fear of retaliation may reduce candor in interviews and focus groups. Small-cell limits: rare strata (e.g., independent arts researchers) may yield small sample sizes limiting subgroup inference. Measurement limits: psychometric scales for novel constructs may fit imperfectly (partial measurement invariance across groups). Causal limits: cross-sectional survey and qualitative data limit strong causal claims despite hypothesis testing; observed associations may reflect unmeasured confounders. Legal/data protection constraints: GDPR redaction and anonymization may remove information needed for linkage between datasets. Generalization: findings are specific to Sweden's legal and institutional context and may not generalize to other countries. Variance estimation: trimming and calibration of weights reduce bias but increase uncertainty estimates and complicate variance formulas for complex designs.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