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nonmedical_irb_ethics_survey_japan</w:t>
      </w:r>
    </w:p>
    <w:p>
      <w:r>
        <w:t xml:space="preserve"> </w:t>
      </w:r>
    </w:p>
    <w:p>
      <w:pPr>
        <w:pStyle w:val="Heading2"/>
      </w:pPr>
      <w:r>
        <w:t>Title</w:t>
      </w:r>
    </w:p>
    <w:p>
      <w:r>
        <w:t>Mixed-methods mapping and evaluation of institutional ethical review practices for non-medical human-subjects research in Japan using a national survey, case studies, and de-identification simulations</w:t>
      </w:r>
    </w:p>
    <w:p>
      <w:r>
        <w:t xml:space="preserve"> </w:t>
      </w:r>
    </w:p>
    <w:p>
      <w:pPr>
        <w:pStyle w:val="Heading2"/>
      </w:pPr>
      <w:r>
        <w:t>Short Hypothesis</w:t>
      </w:r>
    </w:p>
    <w:p>
      <w:r>
        <w:t>Institutions that adopt standardized APPI-aligned templates and a risk-proportionate review pathway will have higher compliance with data-protection practices and lower re-identification risk in qualitative datasets than institutions using ad hoc local procedures.</w:t>
      </w:r>
    </w:p>
    <w:p>
      <w:r>
        <w:t xml:space="preserve"> </w:t>
      </w:r>
    </w:p>
    <w:p>
      <w:pPr>
        <w:pStyle w:val="Heading2"/>
      </w:pPr>
      <w:r>
        <w:t>Related Work</w:t>
      </w:r>
    </w:p>
    <w:p>
      <w:r>
        <w:t>Prior work has documented fragmented governance for non-medical human-subjects research where data protection laws (APPI) interact with institutional soft law (IRB rules, funder guidance). Empirical studies in other jurisdictions have used national surveys and case studies to map IRB variability, showing wide differences in committee composition, review timelines, and consent practices. Legal analyses have highlighted operational ambiguities for secondary use, social-media research, and cross-border transfers. De-identification research offers methods such as pseudonymization (replace direct identifiers with codes), contextual redaction (remove sensitive context), and synthetic data (artificial records). Limitations in existing approaches include: little evidence on how APPI-specific implementation choices affect practice; sparse evaluation of de-identification methods on qualitative materials (interviews, footage, notes); lack of standard DAC (data access committee) scoring rubrics; and few mixed-methods studies that link institutional survey measures to re-identification simulations and concrete policy templates.</w:t>
      </w:r>
    </w:p>
    <w:p>
      <w:r>
        <w:t xml:space="preserve"> </w:t>
      </w:r>
    </w:p>
    <w:p>
      <w:pPr>
        <w:pStyle w:val="Heading2"/>
      </w:pPr>
      <w:r>
        <w:t>Abstract</w:t>
      </w:r>
    </w:p>
    <w:p>
      <w:r>
        <w:t>We propose a mixed-methods study to map and evaluate ethical review practices for non-medical human-subjects research in Japan and to test whether APPI-aligned standardization reduces data-protection risk. The project combines a national cross-sectional survey of institutions, purposive qualitative case studies, document analysis of SOPs and consent templates, and computational re-identification simulations on de-identified qualitative corpora. Main contributions are: (1) a reproducible national dataset and typology of IRB governance models; (2) validated survey instruments and measurement invariance checks across institution types and languages; (3) empirical comparisons of de-identification methods (pseudonymization, contextual redaction, synthetic augmentation) applied to humanities datasets with concrete re-identification metrics; and (4) a scored DAC rubric and appeals SOP tested in mock access reviews. Expected outcomes include evidence-based DPIA checklist items, short and long consent templates, a DAC scoring matrix, and open code and power tables to support policy pilots and institutional adoption under APPI constraints.</w:t>
      </w:r>
    </w:p>
    <w:p>
      <w:r>
        <w:t xml:space="preserve"> </w:t>
      </w:r>
    </w:p>
    <w:p>
      <w:pPr>
        <w:pStyle w:val="Heading2"/>
      </w:pPr>
      <w:r>
        <w:t>Experiments</w:t>
      </w:r>
    </w:p>
    <w:p>
      <w:r>
        <w:t>Datasets: (a) Sampling frame of 180–200 Japanese institutions (national, public, private universities, research institutes). (b) Pilot: 30 institutions, 60–120 respondents. (c) Main survey: target 100–150 institutions, 2–4 respondents per institution (IRB admins, chairs, data-protection officers). (d) Case-study corpus: 6–10 institutions providing SOPs, consent templates, and redacted meeting minutes; 20–40 semi-structured interviews. (e) Qualitative corpora for de-identification: 200–500 interview transcripts, 50–100 short performance footage transcripts, 100 artist notes (synthesized where necessary under DPA). Baselines: (1) current institution practices (status quo). (2) International best-practice templates (benchmark). (3) No-deidentification. Evaluation metrics: institutional proportions (binary indicators) with 95% CIs; intraclass correlation coefficient (ICC) to measure between-institution variability (ICC defined as fraction of total variance attributable to institution); Cronbach's alpha and confirmatory fit indices (RMSEA, CFI) for scales; median review time and IQR; response rate; user satisfaction (5-point Likert mean); re-identification risk metrics: k-anonymity (k value means each record indistinguishable from k-1 others), uniqueness risk (fraction of records unique on quasi-identifiers), simulated attack success rate; DAC decision agreement (Cohen's kappa) and rubric score distributions. Experimental setup: (1) Instrument development: draft survey with 6 domains, back-translation Japanese↔English, 10–15 cognitive interviews, pilot psychometrics (target alpha ≥0.70). (2) Power analysis: commission statistician produce multilevel power tables for Nclusters=60..150, m=2..4, ICC=0.03..0.10. (3) Data collection: email recruitment with institutional endorsement, two reminders, phone follow-up. (4) Analysis quantitative: multilevel logistic/linear models with cluster-robust SEs, weighting by institution type, multiple imputation for missingness under MAR, MNAR sensitivity scans. (5) Qualitative: thematic coding with intercoder kappa ≥0.70. (6) De-identification ablation: apply three methods to qualitative corpora—A: pseudonymization (replace names/IDs), B: contextual redaction (remove/replace context phrases), C: synthetic augmentation (generate partial synthetic transcripts); measure re-identification metrics and downstream research utility (BLEU-like overlap or task performance on a simple coding task). Compare method pairs (A vs B, A vs C, B vs C) and report statistical differences in re-identification rates and utility. (7) DAC rubric test: run mock access requests (n≈60) scored by multiple DAC panels; measure inter-rater reliability and decision consistency; ablate by removing redaction requirement to measure effect on approval rates. (8) Reproducibility: preregister protocol, OSF deposit, containerized code (Docker) and power tables, and release redacted example templates.</w:t>
      </w:r>
    </w:p>
    <w:p>
      <w:r>
        <w:t xml:space="preserve"> </w:t>
      </w:r>
    </w:p>
    <w:p>
      <w:pPr>
        <w:pStyle w:val="Heading2"/>
      </w:pPr>
      <w:r>
        <w:t>Risk Factors And Limitations</w:t>
      </w:r>
    </w:p>
    <w:p>
      <w:r>
        <w:t>Low institutional response rate causing biased sample toward well-resourced institutions. Legal or policy changes to APPI during the study could invalidate parts of guidance. Re-identification simulations on qualitative data may underestimate real-world risk because attacker knowledge varies; simulation assumptions may not generalize. Measurement invariance problems: survey scales may not hold across institution types, languages, or regions, limiting comparability. Resource limits: secure in-country hosting and HSM key management may be costly and slow. Ethical limits: some institutions may refuse release of SOPs or minutes, reducing document corpus size. Scalability: computational cost of re-identification simulations and synthetic-data generation for large text corpora may be high. Generalization: findings from Japanese institutional contexts may not transfer to other legal systems. Technical failure modes: flawed pseudonymization (linkable keys), improper redaction that leaves context clues, or synthetic data that retain real-world identifiers. Evaluation bias: mock DAC panels may behave differently from real panels, limiting external validity.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