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homogeneity_perception_systemic_risk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latent-factor and network causal analysis of how corporate risk-perception homogeneity affects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increase in cross-firm homogeneity of perceived tail risk causes a larger systemic stress response—higher SRISK and larger network cascade size—after exogenous information shocks, conditional on observed network exposures.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three broad approaches: (1) survey and text analysis to measure firm-level risk attitudes and uncertainty, (2) market-implied indicators (option volatility, CDS) to infer tail risk, and (3) network and systemic-risk models (SRISK, CoVaR, cascade models) to quantify contagion. Causal inference efforts have applied difference-in-differences, event studies, and system-GMM to link information events to firm outcomes. Common limitations are: single-source measurement (text-only or market-only) that ignores measurement error across sources; weak handling of endogeneity and spillovers in networks; instrument strategies that are not pre-specified or robust to local violations; limited propagation of measurement uncertainty into causal estimates; and insufficient preregistered decision rules for estimator switching. Existing methods rarely integrate manager surveys, validated NLP, and market signals in a joint Bayesian framework while simultaneously calibrating multi-layer contagion on realistic exposure matrices.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alignment (homogeneity) in firms' risk perceptions amplifies systemic financial vulnerability. We combine three data streams—manager-elicited probabilistic beliefs, validated text-based risk scores from MD&amp;A and earnings calls, and market-implied tail-risk signals—into a Bayesian hierarchical latent-factor model that produces firm-time perceived tail-risk estimates and a time-varying homogeneity scalar. Posterior draws of latent perceptions feed into causal estimation (IV, system-GMM, and staggered continuous DiD) and into a calibrated multi-layer network contagion model that computes SRISK-like metrics and cascade sizes (SRISK is a measure of system-wide capital shortfall under stress). Identification uses pre-specified exogenous shocks (industry news spikes, comms outages) and randomized survey vignettes. Main contributions are: (i) a joint measurement model that quantifies and propagates uncertainty, (ii) a preregistered causal pipeline with explicit instrument windows and decision rules, and (iii) network scenario simulations that link measured homogeneity to systemic outcomes. Expected outcome: transparent, testable evidence on whether and when perception alignment raises systemic risk.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firm-level panel of US publicly listed nonfinancial firms (market cap &gt; $250M) from 2010–2024; survey responses from CEO/CFO/IR/business-unit managers eliciting 12-month probabilities and confidence; MD&amp;A and earnings-call transcripts; market series: option-implied volatility/skew, CDS spreads, realized volatility, analyst-forecast dispersion; firm fundamentals: Compustat/CRSP-style accounting and returns; candidate exposure matrices A_{ij}: supply-chain links, input-output overlaps, ownership and portfolio commonality. Baselines: (A) text-only risk score (dictionary and BERT classifier), (B) market-only latent factor (PCA), (C) survey-only aggregated mean, (D) non-hierarchical PCA combining sources, (E) pooled OLS and naive DiD. Estimators and comparisons: preregistered Bayesian hierarchical latent-factor (primary); SIMEX-corrected 2SLS, LIML, bias-corrected LSDV, and system-GMM as robustness estimators. Evaluation metrics: first-stage F-statistic (instrument strength), AUC for default prediction (area under ROC curve), out-of-sample RMSE for latent-factor reconstruction, posterior coverage (calibration) for latent f, SRISK and expected cascade size (mean and 90% credible interval), change in funding spreads (basis points), and event-study coefficients with pre-trend p-values. Experimental setup: (1) NLP: 60/20/20 train/validation/test splits with sectoral rolling holdouts; (2) Estimate Bayesian latent-factor with specified priors, obtain &gt;=500 posterior draws of firm-time f_{i,t}; (3) For each posterior draw, run IV/2SLS or system-GMM and store coefficients; pool estimates using Rubin-style combination (report combined point estimate and total variance); (4) For each draw, run &gt;=1000 Monte Carlo network contagion simulations to compute SRISK and cascade-size distributions; (5) Ablations: remove survey data, remove text data, remove market data (three ablations); remove information layer in network (no info edges); vary instrument set (news-only, outages-only, vignette-only) and report changes in causal estimates and first-stage F. Pre-specified decision thresholds: first-stage F&gt;10 for primary IV results; if F&lt;=10 report LIML and post-LASSO-IV results.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manager surveys may be noisy or nonrepresentative; NLP classifiers may suffer domain drift (model performance drops over time). Weak or invalid instruments: news spikes and outages may correlate with unobserved fundamentals, producing weak IVs (first-stage F&lt;10) or failed overidentification tests. Network endogeneity: exposure matrices A_{ij} may change in response to firm risk, violating exogeneity and biasing contagion estimates. Spillovers and SUTVA violations: interventions on one firm affect others, complicating DiD identification. Sample and generalizability limits: public US firms with available data may not represent small firms or different regulatory regimes. Computational cost: MCMC for hierarchical models combined with Monte Carlo contagion simulations is expensive and may limit posterior draws or replications. Data access and confidentiality: restricted supply-chain or CDS data may be limited or costly to obtain, reducing replication. Multiplicity: many outcomes and robustness checks increase false-discovery risk if not strictly controlled.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